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46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4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6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9"/>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64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156845</wp:posOffset>
            </wp:positionV>
            <wp:extent cx="985520"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Second Quarter 2025 Financial Results</w:t>
      </w:r>
    </w:p>
    <w:p>
      <w:pPr>
        <w:spacing w:after="0" w:line="227" w:lineRule="exact"/>
        <w:rPr>
          <w:sz w:val="20"/>
          <w:szCs w:val="20"/>
          <w:color w:val="auto"/>
        </w:rPr>
      </w:pPr>
    </w:p>
    <w:p>
      <w:pPr>
        <w:jc w:val="center"/>
        <w:ind w:left="340" w:right="2720"/>
        <w:spacing w:after="0" w:line="267" w:lineRule="auto"/>
        <w:rPr>
          <w:sz w:val="20"/>
          <w:szCs w:val="20"/>
          <w:color w:val="auto"/>
        </w:rPr>
      </w:pPr>
      <w:r>
        <w:rPr>
          <w:rFonts w:ascii="Times New Roman" w:cs="Times New Roman" w:eastAsia="Times New Roman" w:hAnsi="Times New Roman"/>
          <w:sz w:val="18"/>
          <w:szCs w:val="18"/>
          <w:i w:val="1"/>
          <w:iCs w:val="1"/>
          <w:color w:val="auto"/>
        </w:rPr>
        <w:t>Net Revenues Increased by 47.1% Year-over-Year to RMB12.4 Billion GAAP Operating Income Increased by 61.8% Year-over-Year to RMB1.7 Billion Same-Store Sales Growth for Self-Operated Stores Accelerated to 13.4%</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July 30, 2025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RMB12,358.7 million (US$1,723.2 million), representing a 47.1% year-over-year increase.</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2,109, comprising 2,085 stores in China (including Hong Kong), 6 stores in Singapore, 16 stores in Malaysia and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the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26,206 at the second quarter end, comprising 16,968 self-operated stores and 9,238 partnership stores, which represented a store unit growth of 8.8% from the total store count as of the end of the first quarter of 2025.</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reached a record high of 91.7 million, representing a 31.6%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RMB9,136.2 million (US$1,273.8 million), representing a 45.6%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13.4%, notably accelerated from 8.1% in the previous quarter, and significantly improved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20.9%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was RMB1,921.8 million (US$268.0 million), representing a 42.3% year-over-year increase.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operating margin was 21.0%, compared to 21.5%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RMB2,867.3 million (US$399.8 million), representing a 55.0% year-over-year increase.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RMB1,700.1 million (US$237.0 million), representing a 61.8% year-over-year increase. GAAP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increased to 13.8% from 12.5%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which adjusts for share-based compensation expenses, was RMB1,854.5 million (US$258.6 million), representing a 61.2% year-over-year increase. Non-GAAP operating margin expanded to 15.0% from 13.7% in the same quarter of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Jinyi Guo, Co-founder and CEO of Luckin Coffee, said, “Our focused execution of a scale-driven strategy accelerated revenue growth and improved operating margins in the second quarter. By leveraging our strengths in scale, operational efficiency, fulfillment, and supply chain, we capitalized on industry momentum and achieved double-digit same-store sales growth in our self-operated stores. Looking ahead, we remain committed to expanding our market share. Backed by our scale advantage, continuing product innovation, and deep user insights, we are well positioned to navigate evolving market conditions with agility. We believe these capabilities will drive sustainable, high-quality long-term growth and further reinforce our 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left="5580" w:right="3460" w:hanging="5572"/>
        <w:spacing w:after="0" w:line="623"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RMB12,358.7 million (US$1,723.2 million), representing an increase of 47.1% from RMB8,402.6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Net revenues growth was primarily driven by a 46.2% year-over-year increase in GMV, which reached RMB14.2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RMB9,491.5 million (US$1,323.4 million), representing an increase of 44.9% from RMB6,552.4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RMB8,670.6 million (US$1,208.9 million) from RMB6,014.0 million in the same quarter of 2024. This revenue stream accounted for 70.2% of total net revenues, compared to 71.6% in the same quarter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RMB614.7 million (US$85.7 million) from RMB404.4 million in the same quarter of 2024. This revenue stream accounted for 5.0% of total net revenues, compared to 4.8% in the same quarter of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RMB206.1 million (US$28.7 million) from RMB134.1 million in the same quarter of 2024. This revenue stream accounted for 1.6% of total net revenues, compared to 1.6% in the same quarter of 2024.</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RMB2,867.3 million (US$399.8 million), representing an increase of 55.0% from RMB1,850.2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This revenue stream accounted for 23.2% of total net revenues, compared to 22.0% in the same quarter of 2024. Revenues from partnership stores included sales of materials of RMB1,751.3 million (US$244.2 million), delivery service fees of RMB478.3 million (US$66.7 million), profit sharing and royalty fee of RMB410.0 million (US$57.2 million), sales of equipment of RMB204.7 million (US$28.5 million), and franchise and other service fees of RMB23.0 million (US$3.2 million).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RMB10,658.7 million (US$1,486.1 million), representing an increase of 45.0% from RMB7,351.9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primarily resulted from the Company’s business expansion. Meanwhile, operating expenses as a percentage of net revenues decreased to 86.2% from 87.5% in the same quarter of 2024, mainly due to the decrease of cost of materials as a percentage of total net revenues as a result of the Company’s product mix changes and supply chain strength.</w:t>
      </w:r>
    </w:p>
    <w:p>
      <w:pPr>
        <w:spacing w:after="0" w:line="176"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RMB4,600.5 million (US$641.4 million), representing an increase of 36.6% from RMB3,368.2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increases in (i) the number of products sold and (ii) sales of materials to partnership stores.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RMB2,665.1 million (US$371.6 million), representing an increase of 30.0% from RMB2,050.2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2024. The increase mainly resulted from the increased number of stores and items sold which led to year-over-year increases in</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RMB375.4 million (US$52.3 million), representing an increase of 29.8% from RMB289.1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mainly due to increases in (i) amortization of leasehold improvements for the stores and (ii) depreciation expenses of additional equipment put into use in new stores.</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RMB1,669.7 million (US$232.8 million), representing an increase of 175.1% from RMB606.9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the increase in the number of delivery orders.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RMB592.5 million (US$82.6 million), representing an increase of 37.0% from RMB432.6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was mainly driven by increases in (i) advertising and other promotion expenses and (ii) commissions to third-party food delivery and live streaming platforms. Sales and marketing expenses as a percentage of total net revenues was 4.8%, decreased from 5.1%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RMB736.2 million (US$102.6 million), representing an increase of 24.8% from RMB589.7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The increase was mainly driven by increases in (i) payroll costs for general and administrative staff, (ii) share-based compensation for management and employees, and (iii) research and development expenses. General and administrative expenses as a percentage of total net revenues was 6.0%, decreased from 7.0%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RMB17.9 million (US$2.5 million), representing an increase of 28.0% from RMB14.0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mainly due to more stores preparing to be opened compared to the same quarter of 2024. Store preopening and other expenses as a percentage of total net revenues was 0.1%, compared to 0.2% of total net revenues in the same quarter of 2024.</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 nil (US$nil), compared to RMB1.2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margin - self-operated stores </w:t>
      </w:r>
      <w:r>
        <w:rPr>
          <w:rFonts w:ascii="Times New Roman" w:cs="Times New Roman" w:eastAsia="Times New Roman" w:hAnsi="Times New Roman"/>
          <w:sz w:val="18"/>
          <w:szCs w:val="18"/>
          <w:color w:val="auto"/>
        </w:rPr>
        <w:t>was 21.0%, compared to 21.5% in the same quarter of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RMB1,700.1 million (US$237.0 million), representing an increase of 61.8% from RMB1,050.7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2024. GAAP operating margin increased to 13.8% from 12.5%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RMB1,854.5 million (US$258.6 million), representing an increase of 61.2% from RMB1,150.6 million in the same quarter of 2024. Non-GAAP operating margin expanded to 15.0% from 13.7% in the same quarter of 2024.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RMB529.9 million (US$73.9 million), compared to RMB233.2 million in the same quarter of 2024. The significant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mainly due to the increased profits earned in this quarter.</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RMB1,250.5 million (US$174.4 million), representing an increase of 43.6% from RMB871.1 million in the same quarter of 2024.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was 10.1%, compared to 10.4% in the same quarter of 2024.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RMB1,398.7 million (US$195.0 million), representing an increase of 44.0% from RMB971.0 million in the same quarter of 2024. Non-GAAP net margin was 11.3%, compared to 11.6% in the same quarter of 2024.</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RMB3.92 (US$0.56) and RMB3.92 (US$0.56), respectively, compared to RMB2.72 and RMB2.72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RMB4.40 (US$0.64) and RMB4.40 (US$0.64), respectively, compared to RMB3.04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RMB3.04 in the same quarter of 2024,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RMB2,560.5 million (US$357.0 million), compared to net cash provided by operating activities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RMB1,549.1 million in the same quarter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RMB8,174.7 million (US$1,139.8 million) as of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to RMB5,934.2 million as of December 31,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42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96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02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2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2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00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Mar 31,</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r>
      <w:tr>
        <w:trPr>
          <w:trHeight w:val="238"/>
        </w:trPr>
        <w:tc>
          <w:tcPr>
            <w:tcW w:w="4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16,248</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18,590</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19,961</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21,343</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22,340</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24,097</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26,206</w:t>
            </w: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10,628</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12,199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13,936</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14,591</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15,598</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16,968</w:t>
            </w: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5,620</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6,391</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7,407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7,749</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8,499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9,238</w:t>
            </w: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monthly transacting customers (in thousands)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62,438</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59,914</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69,689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74,272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91,697</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12" w:lineRule="exact"/>
        <w:rPr>
          <w:sz w:val="20"/>
          <w:szCs w:val="20"/>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1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21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offline sales and revenue from delivery for self-operated stores.</w:t>
      </w:r>
    </w:p>
    <w:p>
      <w:pPr>
        <w:spacing w:after="0" w:line="14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14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14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margin - self-operated stores. </w:t>
      </w:r>
      <w:r>
        <w:rPr>
          <w:rFonts w:ascii="Times New Roman" w:cs="Times New Roman" w:eastAsia="Times New Roman" w:hAnsi="Times New Roman"/>
          <w:sz w:val="18"/>
          <w:szCs w:val="18"/>
          <w:color w:val="auto"/>
        </w:rPr>
        <w:t>Calculated by dividing store level operating profit by total revenues from self-operated stores.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 of the period.</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21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1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Calculated by operating income excluding share-based compensation expenses.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Calculated by net income excluding recurring item of share-based compensation expenses and income tax effects of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non-GAAP reconciling items. From the fourth quarter of 2024, the Company added income tax effects of GAAP to non-GAAP reconciling items when reconciling adjustments from GAAP to Non-GAAP net income. Comparative figures were also adjusted accordingly.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the Company’s ordinary shareholders. </w:t>
      </w:r>
      <w:r>
        <w:rPr>
          <w:rFonts w:ascii="Times New Roman" w:cs="Times New Roman" w:eastAsia="Times New Roman" w:hAnsi="Times New Roman"/>
          <w:sz w:val="18"/>
          <w:szCs w:val="18"/>
          <w:color w:val="auto"/>
        </w:rPr>
        <w:t>Calculated by adjusting net income attributable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excluding recurring item of share-based compensation expenses and income tax effects of GAAP to non-GAAP reconciling items. From the fourth quarter of 2024, the Company added income tax effects of GAAP to non-GAAP reconciling items when reconciling adjustments from GAAP to Non-GAAP net income attributable to the Company’s ordinary shareholders. Comparative figures were also adjusted accordingly.</w:t>
      </w:r>
    </w:p>
    <w:p>
      <w:pPr>
        <w:spacing w:after="0" w:line="165"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14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ADSs.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ADS.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and income tax effects of GAAP to non-GAAP reconciling items, and non-GAAP net income/(loss) attributable to the Company’s ordinary shareholders as net income/(loss) attributable to the Company’s ordinary shareholders excluding recurring item of share-based compensation expenses and income tax effects of GAAP to non-GAAP reconciling items.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RMB7.1721 to US$1.00, the exchange rate on June 27, 2025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today, on Wednesday, July 30, 2025, at 8:00 am Eastern Time (or Wednesday, July 30, 2025,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+1-888-317-6003</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+1-412-317-6061</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4752087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August 6, 2025,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+1-877-344-7529</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+1-412-317-0088</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5122713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UNAUDITED CONDENSED CONSOLIDATED BALANCE SHEET AS OF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80" w:type="dxa"/>
            <w:vAlign w:val="bottom"/>
            <w:gridSpan w:val="3"/>
          </w:tcPr>
          <w:p>
            <w:pPr>
              <w:jc w:val="center"/>
              <w:ind w:left="7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4,362,309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3,859,630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538,145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1,127,541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2,350,185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327,684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167,315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128,591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588,481</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82,051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2,473,393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3,083,611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429,945</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2,092,138</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291,705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10,704,787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13,308,213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5,065,903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5,343,664</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745,063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59,275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877,119</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227,805</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5,937,063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6,481,578</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903,721</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12,394,327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13,689,441</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1,908,708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26,997,654</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3,764,260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1,009,255</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140,720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3,027,503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4,292,893</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598,555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162,194</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117,497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2,343,387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2,609,499</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363,840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6,682,375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8,191,338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170,655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23,794</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3,330,529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3,562,920</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496,775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3,364,129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3,733,575</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10,046,504</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11,924,913</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1,662,680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211,188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16,705,240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16,986,863</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2,368,464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365,927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196,147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(5,971,779)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(4,026,397)</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(561,397)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401,442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55,973</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11,537,950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13,558,081</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1,890,392</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26,997,654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3,764,260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040" w:type="dxa"/>
            <w:vAlign w:val="bottom"/>
            <w:gridSpan w:val="7"/>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980" w:type="dxa"/>
            <w:vAlign w:val="bottom"/>
            <w:gridSpan w:val="7"/>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23"/>
        </w:trPr>
        <w:tc>
          <w:tcPr>
            <w:tcW w:w="3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9"/>
                <w:szCs w:val="19"/>
                <w:color w:val="auto"/>
              </w:rPr>
            </w:pPr>
          </w:p>
        </w:tc>
        <w:tc>
          <w:tcPr>
            <w:tcW w:w="15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6,552,393</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9,491,455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1,323,386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11,322,553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16,276,024</w:t>
            </w:r>
          </w:p>
        </w:tc>
        <w:tc>
          <w:tcPr>
            <w:tcW w:w="22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2,269,353</w:t>
            </w:r>
          </w:p>
        </w:tc>
      </w:tr>
      <w:tr>
        <w:trPr>
          <w:trHeight w:val="22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1,850,235</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2,867,284</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399,783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3,358,218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4,948,126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689,913</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8,402,628</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12,358,739</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1,723,169</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14,680,771</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21,224,150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2,959,266</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(3,368,237)</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(4,600,451)</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(641,437)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(6,312,667)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(8,173,447)</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(1,139,617)</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(2,050,215)</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(2,665,086)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(371,591)</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(3,883,490)</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(4,994,213)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(696,339)</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(289,114)</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(375,356)</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(52,336)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(548,511)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(713,110)</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(99,428)</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(606,918)</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(1,669,747)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(232,811)</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(1,054,713)</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(2,358,697)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(328,871)</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(432,596)</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(592,478)</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(82,609)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(758,425)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(1,088,914)</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(151,826)</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(589,704)</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(736,162)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(102,642)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(1,146,247)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(1,417,373)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(197,623)</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(14,006)</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(17,930)</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(42,510)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(32,328)</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(1,156)</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51,367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(7,351,946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(10,658,655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(1,486,128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(13,695,196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(18,786,898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(2,619,440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1,050,682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1,700,084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237,041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985,575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2,437,252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339,826</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13,430</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42,615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5,942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29,585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79,192</w:t>
            </w:r>
          </w:p>
        </w:tc>
        <w:tc>
          <w:tcPr>
            <w:tcW w:w="22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(17,055)</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(5,676)</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(29,208)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67,378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49,348</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6,881</w:t>
            </w:r>
          </w:p>
        </w:tc>
      </w:tr>
      <w:tr>
        <w:trPr>
          <w:trHeight w:val="20"/>
        </w:trPr>
        <w:tc>
          <w:tcPr>
            <w:tcW w:w="3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41"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Net income attributable to the Company’s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1,104,279</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1,780,482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248,251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1,053,241</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2,555,577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356,325</w:t>
            </w:r>
          </w:p>
        </w:tc>
        <w:tc>
          <w:tcPr>
            <w:tcW w:w="60" w:type="dxa"/>
            <w:vAlign w:val="bottom"/>
          </w:tcPr>
          <w:p>
            <w:pPr>
              <w:spacing w:after="0"/>
              <w:rPr>
                <w:sz w:val="20"/>
                <w:szCs w:val="20"/>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(233,176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(529,938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174,362</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1,775,602</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247,574</w:t>
            </w:r>
          </w:p>
        </w:tc>
        <w:tc>
          <w:tcPr>
            <w:tcW w:w="6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174,362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1,775,602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247,574</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-770890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-479425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40" w:space="580"/>
            <w:col w:w="8020"/>
          </w:cols>
          <w:pgMar w:left="320" w:top="8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in calculating basic and 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2,545,551,167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2,564,658,435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2,564,658,435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2,545,551,167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2,564,658,447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2,564,658,447</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2,545,827,808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2,564,889,573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2,564,889,573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2,545,720,670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2,564,678,696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2,564,678,696</w:t>
            </w:r>
          </w:p>
        </w:tc>
      </w:tr>
      <w:tr>
        <w:trPr>
          <w:trHeight w:val="216"/>
        </w:trPr>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1,250,544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174,362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1,775,602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247,574</w:t>
            </w:r>
          </w:p>
        </w:tc>
      </w:tr>
      <w:tr>
        <w:trPr>
          <w:trHeight w:val="194"/>
        </w:trPr>
        <w:tc>
          <w:tcPr>
            <w:tcW w:w="3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nil:</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 of nil</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17,399</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(24,437)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29,153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(37,094)</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(5,172)</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1,226,107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170,955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1,738,508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242,402</w:t>
            </w:r>
          </w:p>
        </w:tc>
      </w:tr>
      <w:tr>
        <w:trPr>
          <w:trHeight w:val="174"/>
        </w:trPr>
        <w:tc>
          <w:tcPr>
            <w:tcW w:w="3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 the Company’s ordinary</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1,226,107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170,955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1,738,508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242,402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80" w:firstLine="8"/>
        <w:spacing w:after="0" w:line="28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54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1,549,118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2,560,493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357,007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1,284,756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3,457,079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482,018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(157,287)</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(3,213,201)</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(448,013)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(1,109,135)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(3,589,051)</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(500,417)</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(46,514)</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 and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(5,616)</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(16,631)</w:t>
            </w:r>
          </w:p>
        </w:tc>
        <w:tc>
          <w:tcPr>
            <w:tcW w:w="2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w:t>
            </w:r>
          </w:p>
        </w:tc>
      </w:tr>
      <w:tr>
        <w:trPr>
          <w:trHeight w:val="178"/>
        </w:trPr>
        <w:tc>
          <w:tcPr>
            <w:tcW w:w="3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cash</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1,693,972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(658,324)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(91,789)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479,674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(482,203)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(67,232)</w:t>
            </w: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1,824,345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4,582,806</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638,977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614,420</w:t>
            </w:r>
          </w:p>
        </w:tc>
      </w:tr>
      <w:tr>
        <w:trPr>
          <w:trHeight w:val="174"/>
        </w:trPr>
        <w:tc>
          <w:tcPr>
            <w:tcW w:w="3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3,518,317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3,924,482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547,188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3,518,317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3,924,482</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547,188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06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 30,</w:t>
            </w:r>
          </w:p>
        </w:tc>
        <w:tc>
          <w:tcPr>
            <w:tcW w:w="39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23"/>
        </w:trPr>
        <w:tc>
          <w:tcPr>
            <w:tcW w:w="3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1,050,682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1,700,084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237,041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985,575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2,437,252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339,826</w:t>
            </w: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154,441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281,621</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39,266</w:t>
            </w:r>
          </w:p>
        </w:tc>
      </w:tr>
      <w:tr>
        <w:trPr>
          <w:trHeight w:val="209"/>
        </w:trPr>
        <w:tc>
          <w:tcPr>
            <w:tcW w:w="3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1,150,599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1,854,525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258,574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1,155,591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2,718,873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379,092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871,103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1,250,544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174,362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787,929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1,775,602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247,574</w:t>
            </w: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99,917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154,441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281,621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39,266</w:t>
            </w:r>
          </w:p>
        </w:tc>
      </w:tr>
      <w:tr>
        <w:trPr>
          <w:trHeight w:val="198"/>
        </w:trPr>
        <w:tc>
          <w:tcPr>
            <w:tcW w:w="32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Income tax effects of GAAP to non-</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reconciling items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(9,194)</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(1,282)</w:t>
            </w:r>
          </w:p>
        </w:tc>
      </w:tr>
      <w:tr>
        <w:trPr>
          <w:trHeight w:val="209"/>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971,020</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1,398,691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195,017</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957,945</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2,048,029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285,558</w:t>
            </w:r>
          </w:p>
        </w:tc>
        <w:tc>
          <w:tcPr>
            <w:tcW w:w="100" w:type="dxa"/>
            <w:vAlign w:val="bottom"/>
            <w:tcBorders>
              <w:bottom w:val="single" w:sz="8" w:color="CCEEFF"/>
            </w:tcBorders>
          </w:tcPr>
          <w:p>
            <w:pPr>
              <w:spacing w:after="0"/>
              <w:rPr>
                <w:sz w:val="18"/>
                <w:szCs w:val="18"/>
                <w:color w:val="auto"/>
              </w:rPr>
            </w:pPr>
          </w:p>
        </w:tc>
      </w:tr>
      <w:tr>
        <w:trPr>
          <w:trHeight w:val="210"/>
        </w:trPr>
        <w:tc>
          <w:tcPr>
            <w:tcW w:w="3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40" w:right="8280" w:hanging="7"/>
        <w:spacing w:after="0" w:line="250" w:lineRule="auto"/>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per share Weighted average shares outstanding used in calculating basic and diluted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2,545,551,167</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2,564,658,435</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2,564,658,435</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2,545,551,167</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2,564,658,447</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2,564,658,447</w:t>
            </w: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2,545,827,808</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2,564,889,573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2,564,889,573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2,545,720,670</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2,564,678,696</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2,564,678,696</w:t>
            </w:r>
          </w:p>
        </w:tc>
      </w:tr>
      <w:tr>
        <w:trPr>
          <w:trHeight w:val="216"/>
        </w:trPr>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0.64</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0.64</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6.40</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r>
    </w:tbl>
    <w:p>
      <w:pPr>
        <w:spacing w:after="0" w:line="198" w:lineRule="exact"/>
        <w:rPr>
          <w:sz w:val="20"/>
          <w:szCs w:val="20"/>
          <w:color w:val="auto"/>
        </w:rPr>
      </w:pPr>
    </w:p>
    <w:p>
      <w:pPr>
        <w:ind w:right="180" w:firstLine="8"/>
        <w:spacing w:after="0" w:line="282"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2025-07-30T06:07:40Z</dcterms:created>
  <dcterms:modified xsi:type="dcterms:W3CDTF">2025-07-30T06:07:40Z</dcterms:modified>
</cp:coreProperties>
</file>