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12b-25</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NOTIFICATION OF LATE FILING</w:t>
      </w:r>
    </w:p>
    <w:p>
      <w:pPr>
        <w:spacing w:after="0" w:line="229" w:lineRule="exact"/>
        <w:rPr>
          <w:sz w:val="24"/>
          <w:szCs w:val="24"/>
          <w:color w:val="auto"/>
        </w:rPr>
      </w:pPr>
    </w:p>
    <w:p>
      <w:pPr>
        <w:ind w:left="40"/>
        <w:spacing w:after="0"/>
        <w:tabs>
          <w:tab w:leader="none" w:pos="1920" w:val="left"/>
          <w:tab w:leader="none" w:pos="3780" w:val="left"/>
          <w:tab w:leader="none" w:pos="5700" w:val="left"/>
          <w:tab w:leader="none" w:pos="7600" w:val="left"/>
          <w:tab w:leader="none" w:pos="9480" w:val="left"/>
        </w:tabs>
        <w:rPr>
          <w:sz w:val="20"/>
          <w:szCs w:val="20"/>
          <w:color w:val="auto"/>
        </w:rPr>
      </w:pPr>
      <w:r>
        <w:rPr>
          <w:rFonts w:ascii="Arial" w:cs="Arial" w:eastAsia="Arial" w:hAnsi="Arial"/>
          <w:sz w:val="18"/>
          <w:szCs w:val="18"/>
          <w:i w:val="1"/>
          <w:iCs w:val="1"/>
          <w:color w:val="auto"/>
        </w:rPr>
        <w:t>(Check one):</w:t>
      </w:r>
      <w:r>
        <w:rPr>
          <w:sz w:val="20"/>
          <w:szCs w:val="20"/>
          <w:color w:val="auto"/>
        </w:rPr>
        <w:tab/>
      </w:r>
      <w:r>
        <w:rPr>
          <w:rFonts w:ascii="Arial" w:cs="Arial" w:eastAsia="Arial" w:hAnsi="Arial"/>
          <w:sz w:val="18"/>
          <w:szCs w:val="18"/>
          <w:color w:val="auto"/>
        </w:rPr>
        <w:t>o Form 10-K</w:t>
      </w:r>
      <w:r>
        <w:rPr>
          <w:sz w:val="20"/>
          <w:szCs w:val="20"/>
          <w:color w:val="auto"/>
        </w:rPr>
        <w:tab/>
      </w:r>
      <w:r>
        <w:rPr>
          <w:rFonts w:ascii="Arial" w:cs="Arial" w:eastAsia="Arial" w:hAnsi="Arial"/>
          <w:sz w:val="18"/>
          <w:szCs w:val="18"/>
          <w:color w:val="auto"/>
        </w:rPr>
        <w:t>x Form 20-F</w:t>
      </w:r>
      <w:r>
        <w:rPr>
          <w:sz w:val="20"/>
          <w:szCs w:val="20"/>
          <w:color w:val="auto"/>
        </w:rPr>
        <w:tab/>
      </w:r>
      <w:r>
        <w:rPr>
          <w:rFonts w:ascii="Arial" w:cs="Arial" w:eastAsia="Arial" w:hAnsi="Arial"/>
          <w:sz w:val="18"/>
          <w:szCs w:val="18"/>
          <w:color w:val="auto"/>
        </w:rPr>
        <w:t>o Form 11-K</w:t>
      </w:r>
      <w:r>
        <w:rPr>
          <w:sz w:val="20"/>
          <w:szCs w:val="20"/>
          <w:color w:val="auto"/>
        </w:rPr>
        <w:tab/>
      </w:r>
      <w:r>
        <w:rPr>
          <w:rFonts w:ascii="Arial" w:cs="Arial" w:eastAsia="Arial" w:hAnsi="Arial"/>
          <w:sz w:val="18"/>
          <w:szCs w:val="18"/>
          <w:color w:val="auto"/>
        </w:rPr>
        <w:t>o Form 10-Q</w:t>
      </w:r>
      <w:r>
        <w:rPr>
          <w:sz w:val="20"/>
          <w:szCs w:val="20"/>
          <w:color w:val="auto"/>
        </w:rPr>
        <w:tab/>
      </w:r>
      <w:r>
        <w:rPr>
          <w:rFonts w:ascii="Arial" w:cs="Arial" w:eastAsia="Arial" w:hAnsi="Arial"/>
          <w:sz w:val="16"/>
          <w:szCs w:val="16"/>
          <w:color w:val="auto"/>
        </w:rPr>
        <w:t>o Form 10-D</w:t>
      </w:r>
    </w:p>
    <w:p>
      <w:pPr>
        <w:spacing w:after="0" w:line="23" w:lineRule="exact"/>
        <w:rPr>
          <w:sz w:val="24"/>
          <w:szCs w:val="24"/>
          <w:color w:val="auto"/>
        </w:rPr>
      </w:pPr>
    </w:p>
    <w:p>
      <w:pPr>
        <w:ind w:left="1940"/>
        <w:spacing w:after="0"/>
        <w:tabs>
          <w:tab w:leader="none" w:pos="3780" w:val="left"/>
        </w:tabs>
        <w:rPr>
          <w:sz w:val="20"/>
          <w:szCs w:val="20"/>
          <w:color w:val="auto"/>
        </w:rPr>
      </w:pPr>
      <w:r>
        <w:rPr>
          <w:rFonts w:ascii="Arial" w:cs="Arial" w:eastAsia="Arial" w:hAnsi="Arial"/>
          <w:sz w:val="18"/>
          <w:szCs w:val="18"/>
          <w:color w:val="auto"/>
        </w:rPr>
        <w:t>o Form N-CEN</w:t>
      </w:r>
      <w:r>
        <w:rPr>
          <w:sz w:val="20"/>
          <w:szCs w:val="20"/>
          <w:color w:val="auto"/>
        </w:rPr>
        <w:tab/>
      </w:r>
      <w:r>
        <w:rPr>
          <w:rFonts w:ascii="Arial" w:cs="Arial" w:eastAsia="Arial" w:hAnsi="Arial"/>
          <w:sz w:val="16"/>
          <w:szCs w:val="16"/>
          <w:color w:val="auto"/>
        </w:rPr>
        <w:t>o Form N-CSR</w:t>
      </w:r>
    </w:p>
    <w:p>
      <w:pPr>
        <w:spacing w:after="0" w:line="211" w:lineRule="exact"/>
        <w:rPr>
          <w:sz w:val="24"/>
          <w:szCs w:val="24"/>
          <w:color w:val="auto"/>
        </w:rPr>
      </w:pPr>
    </w:p>
    <w:p>
      <w:pPr>
        <w:ind w:left="1940"/>
        <w:spacing w:after="0"/>
        <w:tabs>
          <w:tab w:leader="none" w:pos="3780" w:val="left"/>
        </w:tabs>
        <w:rPr>
          <w:sz w:val="20"/>
          <w:szCs w:val="20"/>
          <w:color w:val="auto"/>
        </w:rPr>
      </w:pPr>
      <w:r>
        <w:rPr>
          <w:rFonts w:ascii="Arial" w:cs="Arial" w:eastAsia="Arial" w:hAnsi="Arial"/>
          <w:sz w:val="18"/>
          <w:szCs w:val="18"/>
          <w:color w:val="auto"/>
        </w:rPr>
        <w:t>For Period Ended:</w:t>
      </w:r>
      <w:r>
        <w:rPr>
          <w:sz w:val="20"/>
          <w:szCs w:val="20"/>
          <w:color w:val="auto"/>
        </w:rPr>
        <w:tab/>
      </w:r>
      <w:r>
        <w:rPr>
          <w:rFonts w:ascii="Arial" w:cs="Arial" w:eastAsia="Arial" w:hAnsi="Arial"/>
          <w:sz w:val="15"/>
          <w:szCs w:val="15"/>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4723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3" w:lineRule="exact"/>
        <w:rPr>
          <w:sz w:val="24"/>
          <w:szCs w:val="24"/>
          <w:color w:val="auto"/>
        </w:rPr>
      </w:pPr>
    </w:p>
    <w:p>
      <w:pPr>
        <w:ind w:left="1940"/>
        <w:spacing w:after="0"/>
        <w:rPr>
          <w:sz w:val="20"/>
          <w:szCs w:val="20"/>
          <w:color w:val="auto"/>
        </w:rPr>
      </w:pPr>
      <w:r>
        <w:rPr>
          <w:rFonts w:ascii="Arial" w:cs="Arial" w:eastAsia="Arial" w:hAnsi="Arial"/>
          <w:sz w:val="18"/>
          <w:szCs w:val="18"/>
          <w:color w:val="auto"/>
        </w:rPr>
        <w:t>o Transition Report on Form 10-K</w:t>
      </w:r>
    </w:p>
    <w:p>
      <w:pPr>
        <w:spacing w:after="0" w:line="9" w:lineRule="exact"/>
        <w:rPr>
          <w:sz w:val="24"/>
          <w:szCs w:val="24"/>
          <w:color w:val="auto"/>
        </w:rPr>
      </w:pPr>
    </w:p>
    <w:p>
      <w:pPr>
        <w:ind w:left="1940"/>
        <w:spacing w:after="0"/>
        <w:rPr>
          <w:sz w:val="20"/>
          <w:szCs w:val="20"/>
          <w:color w:val="auto"/>
        </w:rPr>
      </w:pPr>
      <w:r>
        <w:rPr>
          <w:rFonts w:ascii="Arial" w:cs="Arial" w:eastAsia="Arial" w:hAnsi="Arial"/>
          <w:sz w:val="18"/>
          <w:szCs w:val="18"/>
          <w:color w:val="auto"/>
        </w:rPr>
        <w:t>o Transition Report on Form 20-F</w:t>
      </w:r>
    </w:p>
    <w:p>
      <w:pPr>
        <w:spacing w:after="0" w:line="9" w:lineRule="exact"/>
        <w:rPr>
          <w:sz w:val="24"/>
          <w:szCs w:val="24"/>
          <w:color w:val="auto"/>
        </w:rPr>
      </w:pPr>
    </w:p>
    <w:p>
      <w:pPr>
        <w:ind w:left="1940"/>
        <w:spacing w:after="0"/>
        <w:rPr>
          <w:sz w:val="20"/>
          <w:szCs w:val="20"/>
          <w:color w:val="auto"/>
        </w:rPr>
      </w:pPr>
      <w:r>
        <w:rPr>
          <w:rFonts w:ascii="Arial" w:cs="Arial" w:eastAsia="Arial" w:hAnsi="Arial"/>
          <w:sz w:val="18"/>
          <w:szCs w:val="18"/>
          <w:color w:val="auto"/>
        </w:rPr>
        <w:t>o Transition Report on Form 11-K</w:t>
      </w:r>
    </w:p>
    <w:p>
      <w:pPr>
        <w:spacing w:after="0" w:line="9" w:lineRule="exact"/>
        <w:rPr>
          <w:sz w:val="24"/>
          <w:szCs w:val="24"/>
          <w:color w:val="auto"/>
        </w:rPr>
      </w:pPr>
    </w:p>
    <w:p>
      <w:pPr>
        <w:ind w:left="1940"/>
        <w:spacing w:after="0"/>
        <w:rPr>
          <w:sz w:val="20"/>
          <w:szCs w:val="20"/>
          <w:color w:val="auto"/>
        </w:rPr>
      </w:pPr>
      <w:r>
        <w:rPr>
          <w:rFonts w:ascii="Arial" w:cs="Arial" w:eastAsia="Arial" w:hAnsi="Arial"/>
          <w:sz w:val="18"/>
          <w:szCs w:val="18"/>
          <w:color w:val="auto"/>
        </w:rPr>
        <w:t>o Transition Report on Form 10-Q</w:t>
      </w:r>
    </w:p>
    <w:p>
      <w:pPr>
        <w:spacing w:after="0" w:line="9" w:lineRule="exact"/>
        <w:rPr>
          <w:sz w:val="24"/>
          <w:szCs w:val="24"/>
          <w:color w:val="auto"/>
        </w:rPr>
      </w:pPr>
    </w:p>
    <w:p>
      <w:pPr>
        <w:ind w:left="194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5715</wp:posOffset>
            </wp:positionV>
            <wp:extent cx="3814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Read Instructions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3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Luckin Coffee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20"/>
        <w:spacing w:after="0"/>
        <w:rPr>
          <w:sz w:val="20"/>
          <w:szCs w:val="20"/>
          <w:color w:val="auto"/>
        </w:rPr>
      </w:pPr>
      <w:r>
        <w:rPr>
          <w:rFonts w:ascii="Arial" w:cs="Arial" w:eastAsia="Arial" w:hAnsi="Arial"/>
          <w:sz w:val="18"/>
          <w:szCs w:val="18"/>
          <w:color w:val="auto"/>
        </w:rPr>
        <w:t>Full Name of Registrant</w:t>
      </w:r>
    </w:p>
    <w:p>
      <w:pPr>
        <w:spacing w:after="0" w:line="220"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20"/>
        <w:spacing w:after="0"/>
        <w:rPr>
          <w:sz w:val="20"/>
          <w:szCs w:val="20"/>
          <w:color w:val="auto"/>
        </w:rPr>
      </w:pPr>
      <w:r>
        <w:rPr>
          <w:rFonts w:ascii="Arial" w:cs="Arial" w:eastAsia="Arial" w:hAnsi="Arial"/>
          <w:sz w:val="18"/>
          <w:szCs w:val="18"/>
          <w:color w:val="auto"/>
        </w:rPr>
        <w:t>Former Name if Applicable</w:t>
      </w:r>
    </w:p>
    <w:p>
      <w:pPr>
        <w:spacing w:after="0" w:line="220" w:lineRule="exact"/>
        <w:rPr>
          <w:sz w:val="24"/>
          <w:szCs w:val="24"/>
          <w:color w:val="auto"/>
        </w:rPr>
      </w:pPr>
    </w:p>
    <w:p>
      <w:pPr>
        <w:ind w:left="20" w:right="5200"/>
        <w:spacing w:after="0" w:line="297" w:lineRule="auto"/>
        <w:rPr>
          <w:sz w:val="20"/>
          <w:szCs w:val="20"/>
          <w:color w:val="auto"/>
        </w:rPr>
      </w:pPr>
      <w:r>
        <w:rPr>
          <w:rFonts w:ascii="Arial" w:cs="Arial" w:eastAsia="Arial" w:hAnsi="Arial"/>
          <w:sz w:val="18"/>
          <w:szCs w:val="18"/>
          <w:b w:val="1"/>
          <w:bCs w:val="1"/>
          <w:color w:val="auto"/>
        </w:rPr>
        <w:t xml:space="preserve">17F Block A, Tefang Portman Tower, No. 81 Zhanhong Road, Siming District </w:t>
      </w: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9"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Xiamen, Fujian, People’s Republic of China, 361008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20"/>
        <w:spacing w:after="0"/>
        <w:rPr>
          <w:sz w:val="20"/>
          <w:szCs w:val="20"/>
          <w:color w:val="auto"/>
        </w:rPr>
      </w:pPr>
      <w:r>
        <w:rPr>
          <w:rFonts w:ascii="Arial" w:cs="Arial" w:eastAsia="Arial" w:hAnsi="Arial"/>
          <w:sz w:val="18"/>
          <w:szCs w:val="18"/>
          <w:color w:val="auto"/>
        </w:rPr>
        <w:t>City, State and Zip Code</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ectPr>
          <w:pgSz w:w="11900" w:h="16838" w:orient="portrait"/>
          <w:cols w:equalWidth="0" w:num="1">
            <w:col w:w="11140"/>
          </w:cols>
          <w:pgMar w:left="320" w:top="445"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2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ind w:left="342" w:hanging="337"/>
        <w:spacing w:after="0"/>
        <w:tabs>
          <w:tab w:leader="none" w:pos="34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23" w:lineRule="exact"/>
        <w:rPr>
          <w:rFonts w:ascii="Arial" w:cs="Arial" w:eastAsia="Arial" w:hAnsi="Arial"/>
          <w:sz w:val="18"/>
          <w:szCs w:val="18"/>
          <w:color w:val="auto"/>
        </w:rPr>
      </w:pPr>
    </w:p>
    <w:p>
      <w:pPr>
        <w:ind w:left="342" w:hanging="342"/>
        <w:spacing w:after="0" w:line="250" w:lineRule="auto"/>
        <w:tabs>
          <w:tab w:leader="none" w:pos="34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 w:lineRule="exact"/>
        <w:rPr>
          <w:rFonts w:ascii="Arial" w:cs="Arial" w:eastAsia="Arial" w:hAnsi="Arial"/>
          <w:sz w:val="18"/>
          <w:szCs w:val="18"/>
          <w:color w:val="auto"/>
        </w:rPr>
      </w:pPr>
    </w:p>
    <w:p>
      <w:pPr>
        <w:ind w:left="342" w:hanging="337"/>
        <w:spacing w:after="0"/>
        <w:tabs>
          <w:tab w:leader="none" w:pos="34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-78740</wp:posOffset>
            </wp:positionH>
            <wp:positionV relativeFrom="paragraph">
              <wp:posOffset>-816610</wp:posOffset>
            </wp:positionV>
            <wp:extent cx="8255" cy="822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296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0" w:space="458"/>
            <w:col w:w="10562"/>
          </w:cols>
          <w:pgMar w:left="320" w:top="445" w:right="4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w:t>
      </w:r>
    </w:p>
    <w:p>
      <w:pPr>
        <w:spacing w:after="0" w:line="170" w:lineRule="exact"/>
        <w:rPr>
          <w:sz w:val="24"/>
          <w:szCs w:val="24"/>
          <w:color w:val="auto"/>
        </w:rPr>
      </w:pPr>
    </w:p>
    <w:p>
      <w:pPr>
        <w:ind w:right="80"/>
        <w:spacing w:after="0" w:line="275" w:lineRule="auto"/>
        <w:rPr>
          <w:sz w:val="20"/>
          <w:szCs w:val="20"/>
          <w:color w:val="auto"/>
        </w:rPr>
      </w:pPr>
      <w:r>
        <w:rPr>
          <w:rFonts w:ascii="Arial" w:cs="Arial" w:eastAsia="Arial" w:hAnsi="Arial"/>
          <w:sz w:val="17"/>
          <w:szCs w:val="17"/>
          <w:color w:val="auto"/>
        </w:rPr>
        <w:t>As previously disclosed, the Board of Directors of the Company has formed a Special Committee to oversee an internal investigation (the “Internal Investigation”). The filing of the Company’s Annual Report on Form 20-F for the year ended December 31, 2019 (the “Annual Report”) is delayed as the result of the impact of the delayed financial statement preparation process caused by COVID-19 and the pendency of the Internal Investigation. The Company is working diligently to explore possible ways to file the Annual Report as soon as possible. However, the Company does not expect that it will be in a position to file the Annual Report within the 15-day extension period provided in Rule 12b-25(b).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ind w:left="420" w:hanging="400"/>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3"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61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Reinout Hendrik Schakel</w:t>
            </w: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(86 592)</w:t>
            </w:r>
          </w:p>
        </w:tc>
        <w:tc>
          <w:tcPr>
            <w:tcW w:w="160" w:type="dxa"/>
            <w:vAlign w:val="bottom"/>
          </w:tcPr>
          <w:p>
            <w:pPr>
              <w:spacing w:after="0"/>
              <w:rPr>
                <w:sz w:val="18"/>
                <w:szCs w:val="18"/>
                <w:color w:val="auto"/>
              </w:rPr>
            </w:pPr>
          </w:p>
        </w:tc>
        <w:tc>
          <w:tcPr>
            <w:tcW w:w="2680" w:type="dxa"/>
            <w:vAlign w:val="bottom"/>
          </w:tcPr>
          <w:p>
            <w:pPr>
              <w:jc w:val="right"/>
              <w:ind w:right="850"/>
              <w:spacing w:after="0"/>
              <w:rPr>
                <w:sz w:val="20"/>
                <w:szCs w:val="20"/>
                <w:color w:val="auto"/>
              </w:rPr>
            </w:pPr>
            <w:r>
              <w:rPr>
                <w:rFonts w:ascii="Arial" w:cs="Arial" w:eastAsia="Arial" w:hAnsi="Arial"/>
                <w:sz w:val="18"/>
                <w:szCs w:val="18"/>
                <w:color w:val="auto"/>
              </w:rPr>
              <w:t>(338-6666)</w:t>
            </w:r>
          </w:p>
        </w:tc>
      </w:tr>
      <w:tr>
        <w:trPr>
          <w:trHeight w:val="224"/>
        </w:trPr>
        <w:tc>
          <w:tcPr>
            <w:tcW w:w="5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200" w:type="dxa"/>
            <w:vAlign w:val="bottom"/>
          </w:tcPr>
          <w:p>
            <w:pPr>
              <w:spacing w:after="0"/>
              <w:rPr>
                <w:sz w:val="19"/>
                <w:szCs w:val="19"/>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16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ind w:left="420" w:right="160" w:hanging="400"/>
        <w:spacing w:after="0" w:line="263"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83" w:lineRule="exact"/>
        <w:rPr>
          <w:rFonts w:ascii="Arial" w:cs="Arial" w:eastAsia="Arial" w:hAnsi="Arial"/>
          <w:sz w:val="18"/>
          <w:szCs w:val="18"/>
          <w:color w:val="auto"/>
        </w:rPr>
      </w:pPr>
    </w:p>
    <w:p>
      <w:pPr>
        <w:ind w:left="9440"/>
        <w:spacing w:after="0"/>
        <w:rPr>
          <w:rFonts w:ascii="Arial" w:cs="Arial" w:eastAsia="Arial" w:hAnsi="Arial"/>
          <w:sz w:val="18"/>
          <w:szCs w:val="18"/>
          <w:color w:val="auto"/>
        </w:rPr>
      </w:pPr>
      <w:r>
        <w:rPr>
          <w:rFonts w:ascii="Arial" w:cs="Arial" w:eastAsia="Arial" w:hAnsi="Arial"/>
          <w:sz w:val="18"/>
          <w:szCs w:val="18"/>
          <w:color w:val="auto"/>
        </w:rPr>
        <w:t>x Yes  o No</w:t>
      </w:r>
    </w:p>
    <w:p>
      <w:pPr>
        <w:spacing w:after="0" w:line="238" w:lineRule="exact"/>
        <w:rPr>
          <w:rFonts w:ascii="Arial" w:cs="Arial" w:eastAsia="Arial" w:hAnsi="Arial"/>
          <w:sz w:val="18"/>
          <w:szCs w:val="18"/>
          <w:color w:val="auto"/>
        </w:rPr>
      </w:pPr>
    </w:p>
    <w:p>
      <w:pPr>
        <w:ind w:left="420" w:right="500" w:hanging="400"/>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-302260</wp:posOffset>
            </wp:positionV>
            <wp:extent cx="6883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150" w:lineRule="exact"/>
        <w:rPr>
          <w:sz w:val="20"/>
          <w:szCs w:val="20"/>
          <w:color w:val="auto"/>
        </w:rPr>
      </w:pPr>
    </w:p>
    <w:p>
      <w:pPr>
        <w:ind w:left="9440"/>
        <w:spacing w:after="0"/>
        <w:tabs>
          <w:tab w:leader="none" w:pos="1000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6"/>
          <w:szCs w:val="16"/>
          <w:color w:val="auto"/>
        </w:rPr>
        <w:t>o No</w:t>
      </w:r>
    </w:p>
    <w:p>
      <w:pPr>
        <w:spacing w:after="0" w:line="225" w:lineRule="exact"/>
        <w:rPr>
          <w:sz w:val="20"/>
          <w:szCs w:val="20"/>
          <w:color w:val="auto"/>
        </w:rPr>
      </w:pPr>
    </w:p>
    <w:p>
      <w:pPr>
        <w:ind w:left="420" w:right="50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ind w:left="420" w:right="100"/>
        <w:spacing w:after="0" w:line="277" w:lineRule="auto"/>
        <w:rPr>
          <w:sz w:val="20"/>
          <w:szCs w:val="20"/>
          <w:color w:val="auto"/>
        </w:rPr>
      </w:pPr>
      <w:r>
        <w:rPr>
          <w:rFonts w:ascii="Arial" w:cs="Arial" w:eastAsia="Arial" w:hAnsi="Arial"/>
          <w:sz w:val="18"/>
          <w:szCs w:val="18"/>
          <w:color w:val="auto"/>
        </w:rPr>
        <w:t>Due to the ongoing Internal Investigation described above, the Company is unable to make an estimate of any changes in results of operations for the year ended December 31, 2019 until the Internal Investigation is completed.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49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8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(Name of Registrant as Specified in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Date  June 15, 2020</w:t>
            </w:r>
          </w:p>
        </w:tc>
        <w:tc>
          <w:tcPr>
            <w:tcW w:w="1240" w:type="dxa"/>
            <w:vAlign w:val="bottom"/>
          </w:tcPr>
          <w:p>
            <w:pPr>
              <w:ind w:left="380"/>
              <w:spacing w:after="0"/>
              <w:rPr>
                <w:sz w:val="20"/>
                <w:szCs w:val="20"/>
                <w:color w:val="auto"/>
              </w:rPr>
            </w:pPr>
            <w:r>
              <w:rPr>
                <w:rFonts w:ascii="Arial" w:cs="Arial" w:eastAsia="Arial" w:hAnsi="Arial"/>
                <w:sz w:val="18"/>
                <w:szCs w:val="18"/>
                <w:color w:val="auto"/>
              </w:rPr>
              <w:t>By:</w:t>
            </w:r>
          </w:p>
        </w:tc>
        <w:tc>
          <w:tcPr>
            <w:tcW w:w="4640" w:type="dxa"/>
            <w:vAlign w:val="bottom"/>
          </w:tcPr>
          <w:p>
            <w:pPr>
              <w:ind w:left="20"/>
              <w:spacing w:after="0"/>
              <w:rPr>
                <w:sz w:val="20"/>
                <w:szCs w:val="20"/>
                <w:color w:val="auto"/>
              </w:rPr>
            </w:pPr>
            <w:r>
              <w:rPr>
                <w:rFonts w:ascii="Arial" w:cs="Arial" w:eastAsia="Arial" w:hAnsi="Arial"/>
                <w:sz w:val="18"/>
                <w:szCs w:val="18"/>
                <w:color w:val="auto"/>
              </w:rPr>
              <w:t>/s/ Reinout Hendrik Schakel</w:t>
            </w:r>
          </w:p>
        </w:tc>
      </w:tr>
      <w:tr>
        <w:trPr>
          <w:trHeight w:val="195"/>
        </w:trPr>
        <w:tc>
          <w:tcPr>
            <w:tcW w:w="480" w:type="dxa"/>
            <w:vAlign w:val="bottom"/>
          </w:tcPr>
          <w:p>
            <w:pPr>
              <w:spacing w:after="0"/>
              <w:rPr>
                <w:sz w:val="16"/>
                <w:szCs w:val="16"/>
                <w:color w:val="auto"/>
              </w:rPr>
            </w:pPr>
          </w:p>
        </w:tc>
        <w:tc>
          <w:tcPr>
            <w:tcW w:w="4740" w:type="dxa"/>
            <w:vAlign w:val="bottom"/>
            <w:tcBorders>
              <w:top w:val="single" w:sz="8" w:color="auto"/>
            </w:tcBorders>
          </w:tcPr>
          <w:p>
            <w:pPr>
              <w:spacing w:after="0"/>
              <w:rPr>
                <w:sz w:val="16"/>
                <w:szCs w:val="16"/>
                <w:color w:val="auto"/>
              </w:rPr>
            </w:pPr>
          </w:p>
        </w:tc>
        <w:tc>
          <w:tcPr>
            <w:tcW w:w="1240" w:type="dxa"/>
            <w:vAlign w:val="bottom"/>
          </w:tcPr>
          <w:p>
            <w:pPr>
              <w:ind w:left="380"/>
              <w:spacing w:after="0" w:line="195" w:lineRule="exact"/>
              <w:rPr>
                <w:sz w:val="20"/>
                <w:szCs w:val="20"/>
                <w:color w:val="auto"/>
              </w:rPr>
            </w:pPr>
            <w:r>
              <w:rPr>
                <w:rFonts w:ascii="Arial" w:cs="Arial" w:eastAsia="Arial" w:hAnsi="Arial"/>
                <w:sz w:val="18"/>
                <w:szCs w:val="18"/>
                <w:color w:val="auto"/>
              </w:rPr>
              <w:t>Name:</w:t>
            </w:r>
          </w:p>
        </w:tc>
        <w:tc>
          <w:tcPr>
            <w:tcW w:w="46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Reinout Hendrik Schakel</w:t>
            </w:r>
          </w:p>
        </w:tc>
      </w:tr>
      <w:tr>
        <w:trPr>
          <w:trHeight w:val="230"/>
        </w:trPr>
        <w:tc>
          <w:tcPr>
            <w:tcW w:w="4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40" w:type="dxa"/>
            <w:vAlign w:val="bottom"/>
          </w:tcPr>
          <w:p>
            <w:pPr>
              <w:ind w:left="380"/>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Chief Financial Officer and Chief Strategy Officer</w:t>
            </w:r>
          </w:p>
        </w:tc>
      </w:tr>
    </w:tbl>
    <w:p>
      <w:pPr>
        <w:spacing w:after="0" w:line="202"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15430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2020-06-15T15:08:10Z</dcterms:created>
  <dcterms:modified xsi:type="dcterms:W3CDTF">2020-06-15T15:08:10Z</dcterms:modified>
</cp:coreProperties>
</file>