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9"/>
          <w:szCs w:val="19"/>
          <w:color w:val="auto"/>
        </w:rPr>
        <w:t>Form 144 Filer Information UNITED STATES</w:t>
      </w:r>
    </w:p>
    <w:p>
      <w:pPr>
        <w:spacing w:after="0" w:line="3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SECURITIES AND EXCHANGE COMMISSION</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Washington, D.C. 20549</w:t>
      </w:r>
    </w:p>
    <w:p>
      <w:pPr>
        <w:spacing w:after="0" w:line="216" w:lineRule="exact"/>
        <w:rPr>
          <w:sz w:val="24"/>
          <w:szCs w:val="24"/>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9"/>
          <w:szCs w:val="19"/>
          <w:color w:val="auto"/>
        </w:rPr>
        <w:t>FORM 144</w:t>
      </w:r>
      <w:r>
        <w:rPr>
          <w:sz w:val="20"/>
          <w:szCs w:val="20"/>
          <w:color w:val="auto"/>
        </w:rPr>
        <w:tab/>
      </w:r>
      <w:r>
        <w:rPr>
          <w:rFonts w:ascii="Times New Roman" w:cs="Times New Roman" w:eastAsia="Times New Roman" w:hAnsi="Times New Roman"/>
          <w:sz w:val="18"/>
          <w:szCs w:val="18"/>
          <w:color w:val="auto"/>
        </w:rPr>
        <w:t>Form 144</w:t>
      </w:r>
    </w:p>
    <w:p>
      <w:pPr>
        <w:spacing w:after="0" w:line="239"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NOTICE OF PROPOSED SALE OF SECURITIES</w:t>
      </w:r>
    </w:p>
    <w:p>
      <w:pPr>
        <w:spacing w:after="0" w:line="2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PURSUANT TO RULE 144 UNDER THE SECURITIES ACT OF 1933</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Filer Information</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CIK</w:t>
            </w:r>
          </w:p>
        </w:tc>
        <w:tc>
          <w:tcPr>
            <w:tcW w:w="28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0001975310</w:t>
            </w:r>
          </w:p>
        </w:tc>
        <w:tc>
          <w:tcPr>
            <w:tcW w:w="4400" w:type="dxa"/>
            <w:vAlign w:val="bottom"/>
          </w:tcPr>
          <w:p>
            <w:pPr>
              <w:spacing w:after="0"/>
              <w:rPr>
                <w:sz w:val="21"/>
                <w:szCs w:val="2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CCC</w:t>
            </w:r>
          </w:p>
        </w:tc>
        <w:tc>
          <w:tcPr>
            <w:tcW w:w="28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XXXXXXXX</w:t>
            </w:r>
          </w:p>
        </w:tc>
        <w:tc>
          <w:tcPr>
            <w:tcW w:w="4400" w:type="dxa"/>
            <w:vAlign w:val="bottom"/>
          </w:tcPr>
          <w:p>
            <w:pPr>
              <w:spacing w:after="0"/>
              <w:rPr>
                <w:sz w:val="24"/>
                <w:szCs w:val="24"/>
                <w:color w:val="auto"/>
              </w:rPr>
            </w:pPr>
          </w:p>
        </w:tc>
      </w:tr>
      <w:tr>
        <w:trPr>
          <w:trHeight w:val="28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Is this a LIVE or TEST Filing?</w:t>
            </w:r>
          </w:p>
        </w:tc>
        <w:tc>
          <w:tcPr>
            <w:tcW w:w="286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LIVE   TEST</w:t>
            </w:r>
          </w:p>
        </w:tc>
        <w:tc>
          <w:tcPr>
            <w:tcW w:w="4400" w:type="dxa"/>
            <w:vAlign w:val="bottom"/>
          </w:tcPr>
          <w:p>
            <w:pPr>
              <w:spacing w:after="0"/>
              <w:rPr>
                <w:sz w:val="24"/>
                <w:szCs w:val="24"/>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Submission Contact Information</w:t>
            </w:r>
          </w:p>
        </w:tc>
        <w:tc>
          <w:tcPr>
            <w:tcW w:w="28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52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w:t>
            </w:r>
          </w:p>
        </w:tc>
        <w:tc>
          <w:tcPr>
            <w:tcW w:w="28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28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E-Mail Address</w:t>
            </w:r>
          </w:p>
        </w:tc>
        <w:tc>
          <w:tcPr>
            <w:tcW w:w="28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742"/>
        </w:trPr>
        <w:tc>
          <w:tcPr>
            <w:tcW w:w="5520" w:type="dxa"/>
            <w:vAlign w:val="bottom"/>
            <w:gridSpan w:val="2"/>
          </w:tcPr>
          <w:p>
            <w:pPr>
              <w:spacing w:after="0"/>
              <w:rPr>
                <w:sz w:val="20"/>
                <w:szCs w:val="20"/>
                <w:color w:val="auto"/>
              </w:rPr>
            </w:pPr>
            <w:r>
              <w:rPr>
                <w:rFonts w:ascii="Times New Roman" w:cs="Times New Roman" w:eastAsia="Times New Roman" w:hAnsi="Times New Roman"/>
                <w:sz w:val="38"/>
                <w:szCs w:val="38"/>
                <w:b w:val="1"/>
                <w:bCs w:val="1"/>
                <w:color w:val="auto"/>
              </w:rPr>
              <w:t>144: Issuer Information</w:t>
            </w:r>
          </w:p>
        </w:tc>
        <w:tc>
          <w:tcPr>
            <w:tcW w:w="4400" w:type="dxa"/>
            <w:vAlign w:val="bottom"/>
          </w:tcPr>
          <w:p>
            <w:pPr>
              <w:spacing w:after="0"/>
              <w:rPr>
                <w:sz w:val="24"/>
                <w:szCs w:val="24"/>
                <w:color w:val="auto"/>
              </w:rPr>
            </w:pPr>
          </w:p>
        </w:tc>
      </w:tr>
      <w:tr>
        <w:trPr>
          <w:trHeight w:val="50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 of Issuer</w:t>
            </w:r>
          </w:p>
        </w:tc>
        <w:tc>
          <w:tcPr>
            <w:tcW w:w="2860" w:type="dxa"/>
            <w:vAlign w:val="bottom"/>
          </w:tcPr>
          <w:p>
            <w:pPr>
              <w:spacing w:after="0"/>
              <w:rPr>
                <w:sz w:val="24"/>
                <w:szCs w:val="24"/>
                <w:color w:val="auto"/>
              </w:rPr>
            </w:pPr>
          </w:p>
        </w:tc>
        <w:tc>
          <w:tcPr>
            <w:tcW w:w="440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Luckin Coffee Inc.</w:t>
            </w: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 File Number</w:t>
            </w:r>
          </w:p>
        </w:tc>
        <w:tc>
          <w:tcPr>
            <w:tcW w:w="2860" w:type="dxa"/>
            <w:vAlign w:val="bottom"/>
          </w:tcPr>
          <w:p>
            <w:pPr>
              <w:spacing w:after="0"/>
              <w:rPr>
                <w:sz w:val="24"/>
                <w:szCs w:val="24"/>
                <w:color w:val="auto"/>
              </w:rPr>
            </w:pPr>
          </w:p>
        </w:tc>
        <w:tc>
          <w:tcPr>
            <w:tcW w:w="440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001-38896</w:t>
            </w:r>
          </w:p>
        </w:tc>
      </w:tr>
      <w:tr>
        <w:trPr>
          <w:trHeight w:val="253"/>
        </w:trPr>
        <w:tc>
          <w:tcPr>
            <w:tcW w:w="266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440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17F BLOCK A, TEFANG PORTMAN TOWER</w:t>
            </w:r>
          </w:p>
        </w:tc>
      </w:tr>
      <w:tr>
        <w:trPr>
          <w:trHeight w:val="228"/>
        </w:trPr>
        <w:tc>
          <w:tcPr>
            <w:tcW w:w="26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40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NO. 81 ZHANHONG ROAD, SIMING DISTRICT</w:t>
            </w:r>
          </w:p>
        </w:tc>
      </w:tr>
      <w:tr>
        <w:trPr>
          <w:trHeight w:val="22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Address of Issuer</w:t>
            </w:r>
          </w:p>
        </w:tc>
        <w:tc>
          <w:tcPr>
            <w:tcW w:w="2860" w:type="dxa"/>
            <w:vAlign w:val="bottom"/>
          </w:tcPr>
          <w:p>
            <w:pPr>
              <w:spacing w:after="0"/>
              <w:rPr>
                <w:sz w:val="19"/>
                <w:szCs w:val="19"/>
                <w:color w:val="auto"/>
              </w:rPr>
            </w:pPr>
          </w:p>
        </w:tc>
        <w:tc>
          <w:tcPr>
            <w:tcW w:w="440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XIAMEN, FUJIAN</w:t>
            </w:r>
          </w:p>
        </w:tc>
      </w:tr>
      <w:tr>
        <w:trPr>
          <w:trHeight w:val="228"/>
        </w:trPr>
        <w:tc>
          <w:tcPr>
            <w:tcW w:w="26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40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CHINA</w:t>
            </w:r>
          </w:p>
        </w:tc>
      </w:tr>
      <w:tr>
        <w:trPr>
          <w:trHeight w:val="251"/>
        </w:trPr>
        <w:tc>
          <w:tcPr>
            <w:tcW w:w="26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40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361008</w:t>
            </w: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2860" w:type="dxa"/>
            <w:vAlign w:val="bottom"/>
          </w:tcPr>
          <w:p>
            <w:pPr>
              <w:spacing w:after="0"/>
              <w:rPr>
                <w:sz w:val="24"/>
                <w:szCs w:val="24"/>
                <w:color w:val="auto"/>
              </w:rPr>
            </w:pPr>
          </w:p>
        </w:tc>
        <w:tc>
          <w:tcPr>
            <w:tcW w:w="440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86 592 338 6666</w:t>
            </w:r>
          </w:p>
        </w:tc>
      </w:tr>
      <w:tr>
        <w:trPr>
          <w:trHeight w:val="276"/>
        </w:trPr>
        <w:tc>
          <w:tcPr>
            <w:tcW w:w="552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Name of Person for Whose Account the Securities are To Be Sold</w:t>
            </w:r>
          </w:p>
        </w:tc>
        <w:tc>
          <w:tcPr>
            <w:tcW w:w="440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Guo Jinyi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1711325</wp:posOffset>
            </wp:positionH>
            <wp:positionV relativeFrom="paragraph">
              <wp:posOffset>-3092450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-3092450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5" w:lineRule="exact"/>
        <w:rPr>
          <w:sz w:val="24"/>
          <w:szCs w:val="24"/>
          <w:color w:val="auto"/>
        </w:rPr>
      </w:pPr>
    </w:p>
    <w:p>
      <w:pPr>
        <w:jc w:val="both"/>
        <w:ind w:left="40" w:right="20"/>
        <w:spacing w:after="0" w:line="265" w:lineRule="auto"/>
        <w:rPr>
          <w:sz w:val="20"/>
          <w:szCs w:val="20"/>
          <w:color w:val="auto"/>
        </w:rPr>
      </w:pPr>
      <w:r>
        <w:rPr>
          <w:rFonts w:ascii="Times New Roman" w:cs="Times New Roman" w:eastAsia="Times New Roman" w:hAnsi="Times New Roman"/>
          <w:sz w:val="19"/>
          <w:szCs w:val="19"/>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4"/>
          <w:szCs w:val="24"/>
          <w:color w:val="auto"/>
        </w:rPr>
      </w:pPr>
    </w:p>
    <w:p>
      <w:pPr>
        <w:spacing w:after="0" w:line="265" w:lineRule="exact"/>
        <w:rPr>
          <w:sz w:val="24"/>
          <w:szCs w:val="24"/>
          <w:color w:val="auto"/>
        </w:rPr>
      </w:pPr>
    </w:p>
    <w:p>
      <w:pPr>
        <w:ind w:left="40"/>
        <w:spacing w:after="0"/>
        <w:tabs>
          <w:tab w:leader="none" w:pos="5920" w:val="left"/>
        </w:tabs>
        <w:rPr>
          <w:sz w:val="20"/>
          <w:szCs w:val="20"/>
          <w:color w:val="auto"/>
        </w:rPr>
      </w:pPr>
      <w:r>
        <w:rPr>
          <w:rFonts w:ascii="Times New Roman" w:cs="Times New Roman" w:eastAsia="Times New Roman" w:hAnsi="Times New Roman"/>
          <w:sz w:val="19"/>
          <w:szCs w:val="19"/>
          <w:color w:val="auto"/>
        </w:rPr>
        <w:t>Relationship to Issuer</w:t>
      </w:r>
      <w:r>
        <w:rPr>
          <w:sz w:val="20"/>
          <w:szCs w:val="20"/>
          <w:color w:val="auto"/>
        </w:rPr>
        <w:tab/>
      </w:r>
      <w:r>
        <w:rPr>
          <w:rFonts w:ascii="Times New Roman" w:cs="Times New Roman" w:eastAsia="Times New Roman" w:hAnsi="Times New Roman"/>
          <w:sz w:val="18"/>
          <w:szCs w:val="18"/>
          <w:color w:val="auto"/>
        </w:rPr>
        <w:t>Officer</w:t>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Information</w:t>
      </w:r>
    </w:p>
    <w:p>
      <w:pPr>
        <w:sectPr>
          <w:pgSz w:w="11900" w:h="16840" w:orient="portrait"/>
          <w:cols w:equalWidth="0" w:num="1">
            <w:col w:w="10560"/>
          </w:cols>
          <w:pgMar w:left="660" w:top="592" w:right="680" w:bottom="475" w:gutter="0" w:footer="0" w:header="0"/>
        </w:sectPr>
      </w:pPr>
    </w:p>
    <w:p>
      <w:pPr>
        <w:spacing w:after="0" w:line="200" w:lineRule="exact"/>
        <w:rPr>
          <w:sz w:val="24"/>
          <w:szCs w:val="24"/>
          <w:color w:val="auto"/>
        </w:rPr>
      </w:pPr>
    </w:p>
    <w:p>
      <w:pPr>
        <w:spacing w:after="0" w:line="352" w:lineRule="exact"/>
        <w:rPr>
          <w:sz w:val="24"/>
          <w:szCs w:val="24"/>
          <w:color w:val="auto"/>
        </w:rPr>
      </w:pPr>
    </w:p>
    <w:p>
      <w:pPr>
        <w:ind w:left="400"/>
        <w:spacing w:after="0"/>
        <w:tabs>
          <w:tab w:leader="none" w:pos="2420" w:val="left"/>
        </w:tabs>
        <w:rPr>
          <w:sz w:val="20"/>
          <w:szCs w:val="20"/>
          <w:color w:val="auto"/>
        </w:rPr>
      </w:pPr>
      <w:r>
        <w:rPr>
          <w:rFonts w:ascii="Times New Roman" w:cs="Times New Roman" w:eastAsia="Times New Roman" w:hAnsi="Times New Roman"/>
          <w:sz w:val="19"/>
          <w:szCs w:val="19"/>
          <w:b w:val="1"/>
          <w:bCs w:val="1"/>
          <w:color w:val="auto"/>
        </w:rPr>
        <w:t>Title of the Class of</w:t>
      </w:r>
      <w:r>
        <w:rPr>
          <w:sz w:val="20"/>
          <w:szCs w:val="20"/>
          <w:color w:val="auto"/>
        </w:rPr>
        <w:tab/>
      </w:r>
      <w:r>
        <w:rPr>
          <w:rFonts w:ascii="Times New Roman" w:cs="Times New Roman" w:eastAsia="Times New Roman" w:hAnsi="Times New Roman"/>
          <w:sz w:val="19"/>
          <w:szCs w:val="19"/>
          <w:b w:val="1"/>
          <w:bCs w:val="1"/>
          <w:color w:val="auto"/>
        </w:rPr>
        <w:t>Name and Address of the</w:t>
      </w:r>
    </w:p>
    <w:p>
      <w:pPr>
        <w:spacing w:after="0" w:line="34" w:lineRule="exact"/>
        <w:rPr>
          <w:sz w:val="24"/>
          <w:szCs w:val="24"/>
          <w:color w:val="auto"/>
        </w:rPr>
      </w:pPr>
    </w:p>
    <w:p>
      <w:pPr>
        <w:ind w:left="320"/>
        <w:spacing w:after="0"/>
        <w:tabs>
          <w:tab w:leader="none" w:pos="3160" w:val="left"/>
        </w:tabs>
        <w:rPr>
          <w:sz w:val="20"/>
          <w:szCs w:val="20"/>
          <w:color w:val="auto"/>
        </w:rPr>
      </w:pPr>
      <w:r>
        <w:rPr>
          <w:rFonts w:ascii="Times New Roman" w:cs="Times New Roman" w:eastAsia="Times New Roman" w:hAnsi="Times New Roman"/>
          <w:sz w:val="19"/>
          <w:szCs w:val="19"/>
          <w:b w:val="1"/>
          <w:bCs w:val="1"/>
          <w:color w:val="auto"/>
        </w:rPr>
        <w:t>Securities To Be Sold</w:t>
      </w:r>
      <w:r>
        <w:rPr>
          <w:sz w:val="20"/>
          <w:szCs w:val="20"/>
          <w:color w:val="auto"/>
        </w:rPr>
        <w:tab/>
      </w:r>
      <w:r>
        <w:rPr>
          <w:rFonts w:ascii="Times New Roman" w:cs="Times New Roman" w:eastAsia="Times New Roman" w:hAnsi="Times New Roman"/>
          <w:sz w:val="18"/>
          <w:szCs w:val="18"/>
          <w:b w:val="1"/>
          <w:bCs w:val="1"/>
          <w:color w:val="auto"/>
        </w:rPr>
        <w:t>Broker</w:t>
      </w:r>
    </w:p>
    <w:p>
      <w:pPr>
        <w:spacing w:after="0" w:line="264"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9"/>
          <w:szCs w:val="19"/>
          <w:color w:val="auto"/>
        </w:rPr>
        <w:t>Citi Global Wealth Inc.</w:t>
      </w:r>
    </w:p>
    <w:p>
      <w:pPr>
        <w:spacing w:after="0" w:line="3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color w:val="auto"/>
        </w:rPr>
        <w:t>American Depository Shares 388 Greenwich St.</w:t>
      </w:r>
    </w:p>
    <w:p>
      <w:pPr>
        <w:spacing w:after="0" w:line="10"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9"/>
          <w:szCs w:val="19"/>
          <w:color w:val="auto"/>
        </w:rPr>
        <w:t>New York  NY  10013</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1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12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12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Name the</w:t>
            </w:r>
          </w:p>
        </w:tc>
        <w:tc>
          <w:tcPr>
            <w:tcW w:w="0" w:type="dxa"/>
            <w:vAlign w:val="bottom"/>
          </w:tcPr>
          <w:p>
            <w:pPr>
              <w:spacing w:after="0"/>
              <w:rPr>
                <w:sz w:val="1"/>
                <w:szCs w:val="1"/>
                <w:color w:val="auto"/>
              </w:rPr>
            </w:pPr>
          </w:p>
        </w:tc>
      </w:tr>
      <w:tr>
        <w:trPr>
          <w:trHeight w:val="108"/>
        </w:trPr>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Shares or</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Aggregate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Shares or</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Approximate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1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Securities</w:t>
            </w:r>
          </w:p>
        </w:tc>
        <w:tc>
          <w:tcPr>
            <w:tcW w:w="0" w:type="dxa"/>
            <w:vAlign w:val="bottom"/>
          </w:tcPr>
          <w:p>
            <w:pPr>
              <w:spacing w:after="0"/>
              <w:rPr>
                <w:sz w:val="1"/>
                <w:szCs w:val="1"/>
                <w:color w:val="auto"/>
              </w:rPr>
            </w:pPr>
          </w:p>
        </w:tc>
      </w:tr>
      <w:tr>
        <w:trPr>
          <w:trHeight w:val="108"/>
        </w:trPr>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Other Units</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Market Value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Other Units</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auto"/>
              </w:rPr>
              <w:t>Date of Sale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1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Exchange</w:t>
            </w:r>
          </w:p>
        </w:tc>
        <w:tc>
          <w:tcPr>
            <w:tcW w:w="0" w:type="dxa"/>
            <w:vAlign w:val="bottom"/>
          </w:tcPr>
          <w:p>
            <w:pPr>
              <w:spacing w:after="0"/>
              <w:rPr>
                <w:sz w:val="1"/>
                <w:szCs w:val="1"/>
                <w:color w:val="auto"/>
              </w:rPr>
            </w:pPr>
          </w:p>
        </w:tc>
      </w:tr>
      <w:tr>
        <w:trPr>
          <w:trHeight w:val="133"/>
        </w:trPr>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To Be Sold</w:t>
            </w:r>
          </w:p>
        </w:tc>
        <w:tc>
          <w:tcPr>
            <w:tcW w:w="126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1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1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4"/>
        </w:trPr>
        <w:tc>
          <w:tcPr>
            <w:tcW w:w="1100" w:type="dxa"/>
            <w:vAlign w:val="bottom"/>
          </w:tcPr>
          <w:p>
            <w:pPr>
              <w:jc w:val="right"/>
              <w:ind w:right="424"/>
              <w:spacing w:after="0"/>
              <w:rPr>
                <w:sz w:val="20"/>
                <w:szCs w:val="20"/>
                <w:color w:val="auto"/>
              </w:rPr>
            </w:pPr>
            <w:r>
              <w:rPr>
                <w:rFonts w:ascii="Times New Roman" w:cs="Times New Roman" w:eastAsia="Times New Roman" w:hAnsi="Times New Roman"/>
                <w:sz w:val="19"/>
                <w:szCs w:val="19"/>
                <w:color w:val="auto"/>
                <w:w w:val="98"/>
              </w:rPr>
              <w:t>200000</w:t>
            </w:r>
          </w:p>
        </w:tc>
        <w:tc>
          <w:tcPr>
            <w:tcW w:w="1260" w:type="dxa"/>
            <w:vAlign w:val="bottom"/>
          </w:tcPr>
          <w:p>
            <w:pPr>
              <w:jc w:val="right"/>
              <w:ind w:right="204"/>
              <w:spacing w:after="0"/>
              <w:rPr>
                <w:sz w:val="20"/>
                <w:szCs w:val="20"/>
                <w:color w:val="auto"/>
              </w:rPr>
            </w:pPr>
            <w:r>
              <w:rPr>
                <w:rFonts w:ascii="Times New Roman" w:cs="Times New Roman" w:eastAsia="Times New Roman" w:hAnsi="Times New Roman"/>
                <w:sz w:val="19"/>
                <w:szCs w:val="19"/>
                <w:color w:val="auto"/>
              </w:rPr>
              <w:t>6758000.00</w:t>
            </w:r>
          </w:p>
        </w:tc>
        <w:tc>
          <w:tcPr>
            <w:tcW w:w="116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259975244</w:t>
            </w: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11/03/2023   OTC</w:t>
            </w:r>
          </w:p>
        </w:tc>
        <w:tc>
          <w:tcPr>
            <w:tcW w:w="0" w:type="dxa"/>
            <w:vAlign w:val="bottom"/>
          </w:tcPr>
          <w:p>
            <w:pPr>
              <w:spacing w:after="0"/>
              <w:rPr>
                <w:sz w:val="1"/>
                <w:szCs w:val="1"/>
                <w:color w:val="auto"/>
              </w:rPr>
            </w:pPr>
          </w:p>
        </w:tc>
      </w:tr>
    </w:tbl>
    <w:p>
      <w:pPr>
        <w:spacing w:after="0" w:line="417" w:lineRule="exact"/>
        <w:rPr>
          <w:sz w:val="24"/>
          <w:szCs w:val="24"/>
          <w:color w:val="auto"/>
        </w:rPr>
      </w:pPr>
    </w:p>
    <w:p>
      <w:pPr>
        <w:sectPr>
          <w:pgSz w:w="11900" w:h="16840" w:orient="portrait"/>
          <w:cols w:equalWidth="0" w:num="2">
            <w:col w:w="4500" w:space="120"/>
            <w:col w:w="5940"/>
          </w:cols>
          <w:pgMar w:left="660" w:top="592" w:right="680" w:bottom="475" w:gutter="0" w:footer="0" w:header="0"/>
          <w:type w:val="continuous"/>
        </w:sectPr>
      </w:pPr>
    </w:p>
    <w:p>
      <w:pPr>
        <w:spacing w:after="0" w:line="280"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with respect to the acquisition of the securities to be sold and with respect to the payment of all or any part of the purchase price or other consideration therefor:</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To Be Sold</w:t>
      </w:r>
    </w:p>
    <w:p>
      <w:pPr>
        <w:spacing w:after="0" w:line="32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1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w:t>
            </w:r>
          </w:p>
        </w:tc>
        <w:tc>
          <w:tcPr>
            <w:tcW w:w="1540" w:type="dxa"/>
            <w:vAlign w:val="bottom"/>
            <w:vMerge w:val="restart"/>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Name of Person</w:t>
            </w:r>
          </w:p>
        </w:tc>
        <w:tc>
          <w:tcPr>
            <w:tcW w:w="5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4"/>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Date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9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Date you</w:t>
            </w:r>
          </w:p>
        </w:tc>
        <w:tc>
          <w:tcPr>
            <w:tcW w:w="13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this</w:t>
            </w:r>
          </w:p>
        </w:tc>
        <w:tc>
          <w:tcPr>
            <w:tcW w:w="9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Date of</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 Payment</w:t>
            </w:r>
          </w:p>
        </w:tc>
        <w:tc>
          <w:tcPr>
            <w:tcW w:w="0" w:type="dxa"/>
            <w:vAlign w:val="bottom"/>
          </w:tcPr>
          <w:p>
            <w:pPr>
              <w:spacing w:after="0"/>
              <w:rPr>
                <w:sz w:val="1"/>
                <w:szCs w:val="1"/>
                <w:color w:val="auto"/>
              </w:rPr>
            </w:pPr>
          </w:p>
        </w:tc>
      </w:tr>
      <w:tr>
        <w:trPr>
          <w:trHeight w:val="195"/>
        </w:trPr>
        <w:tc>
          <w:tcPr>
            <w:tcW w:w="1440" w:type="dxa"/>
            <w:vAlign w:val="bottom"/>
          </w:tcPr>
          <w:p>
            <w:pPr>
              <w:spacing w:after="0" w:line="195" w:lineRule="exact"/>
              <w:rPr>
                <w:sz w:val="20"/>
                <w:szCs w:val="20"/>
                <w:color w:val="auto"/>
              </w:rPr>
            </w:pPr>
            <w:r>
              <w:rPr>
                <w:rFonts w:ascii="Times New Roman" w:cs="Times New Roman" w:eastAsia="Times New Roman" w:hAnsi="Times New Roman"/>
                <w:sz w:val="19"/>
                <w:szCs w:val="19"/>
                <w:b w:val="1"/>
                <w:bCs w:val="1"/>
                <w:color w:val="auto"/>
              </w:rPr>
              <w:t>Title of the Class</w:t>
            </w:r>
          </w:p>
        </w:tc>
        <w:tc>
          <w:tcPr>
            <w:tcW w:w="1020" w:type="dxa"/>
            <w:vAlign w:val="bottom"/>
            <w:vMerge w:val="continue"/>
          </w:tcPr>
          <w:p>
            <w:pPr>
              <w:spacing w:after="0"/>
              <w:rPr>
                <w:sz w:val="16"/>
                <w:szCs w:val="16"/>
                <w:color w:val="auto"/>
              </w:rPr>
            </w:pPr>
          </w:p>
        </w:tc>
        <w:tc>
          <w:tcPr>
            <w:tcW w:w="138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Acquisition</w:t>
            </w:r>
          </w:p>
        </w:tc>
        <w:tc>
          <w:tcPr>
            <w:tcW w:w="1540" w:type="dxa"/>
            <w:vAlign w:val="bottom"/>
          </w:tcPr>
          <w:p>
            <w:pPr>
              <w:jc w:val="center"/>
              <w:ind w:left="44"/>
              <w:spacing w:after="0" w:line="195" w:lineRule="exact"/>
              <w:rPr>
                <w:sz w:val="20"/>
                <w:szCs w:val="20"/>
                <w:color w:val="auto"/>
              </w:rPr>
            </w:pPr>
            <w:r>
              <w:rPr>
                <w:rFonts w:ascii="Times New Roman" w:cs="Times New Roman" w:eastAsia="Times New Roman" w:hAnsi="Times New Roman"/>
                <w:sz w:val="19"/>
                <w:szCs w:val="19"/>
                <w:b w:val="1"/>
                <w:bCs w:val="1"/>
                <w:color w:val="auto"/>
              </w:rPr>
              <w:t>from Whom</w:t>
            </w:r>
          </w:p>
        </w:tc>
        <w:tc>
          <w:tcPr>
            <w:tcW w:w="500" w:type="dxa"/>
            <w:vAlign w:val="bottom"/>
            <w:vMerge w:val="continue"/>
          </w:tcPr>
          <w:p>
            <w:pPr>
              <w:spacing w:after="0"/>
              <w:rPr>
                <w:sz w:val="16"/>
                <w:szCs w:val="16"/>
                <w:color w:val="auto"/>
              </w:rPr>
            </w:pPr>
          </w:p>
        </w:tc>
        <w:tc>
          <w:tcPr>
            <w:tcW w:w="900" w:type="dxa"/>
            <w:vAlign w:val="bottom"/>
          </w:tcPr>
          <w:p>
            <w:pPr>
              <w:jc w:val="center"/>
              <w:ind w:right="4"/>
              <w:spacing w:after="0" w:line="195" w:lineRule="exact"/>
              <w:rPr>
                <w:sz w:val="20"/>
                <w:szCs w:val="20"/>
                <w:color w:val="auto"/>
              </w:rPr>
            </w:pPr>
            <w:r>
              <w:rPr>
                <w:rFonts w:ascii="Times New Roman" w:cs="Times New Roman" w:eastAsia="Times New Roman" w:hAnsi="Times New Roman"/>
                <w:sz w:val="19"/>
                <w:szCs w:val="19"/>
                <w:b w:val="1"/>
                <w:bCs w:val="1"/>
                <w:color w:val="auto"/>
              </w:rPr>
              <w:t>Donor</w:t>
            </w:r>
          </w:p>
        </w:tc>
        <w:tc>
          <w:tcPr>
            <w:tcW w:w="114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Securities</w:t>
            </w:r>
          </w:p>
        </w:tc>
        <w:tc>
          <w:tcPr>
            <w:tcW w:w="9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40" w:type="dxa"/>
            <w:vAlign w:val="bottom"/>
          </w:tcPr>
          <w:p>
            <w:pPr>
              <w:spacing w:after="0"/>
              <w:rPr>
                <w:sz w:val="13"/>
                <w:szCs w:val="13"/>
                <w:color w:val="auto"/>
              </w:rPr>
            </w:pPr>
          </w:p>
        </w:tc>
        <w:tc>
          <w:tcPr>
            <w:tcW w:w="1020" w:type="dxa"/>
            <w:vAlign w:val="bottom"/>
          </w:tcPr>
          <w:p>
            <w:pPr>
              <w:ind w:left="40"/>
              <w:spacing w:after="0" w:line="153" w:lineRule="exact"/>
              <w:rPr>
                <w:sz w:val="20"/>
                <w:szCs w:val="20"/>
                <w:color w:val="auto"/>
              </w:rPr>
            </w:pPr>
            <w:r>
              <w:rPr>
                <w:rFonts w:ascii="Times New Roman" w:cs="Times New Roman" w:eastAsia="Times New Roman" w:hAnsi="Times New Roman"/>
                <w:sz w:val="17"/>
                <w:szCs w:val="17"/>
                <w:b w:val="1"/>
                <w:bCs w:val="1"/>
                <w:color w:val="auto"/>
              </w:rPr>
              <w:t>Acquired</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Transaction</w:t>
            </w:r>
          </w:p>
        </w:tc>
        <w:tc>
          <w:tcPr>
            <w:tcW w:w="1540" w:type="dxa"/>
            <w:vAlign w:val="bottom"/>
            <w:vMerge w:val="restart"/>
          </w:tcPr>
          <w:p>
            <w:pPr>
              <w:jc w:val="center"/>
              <w:ind w:left="44"/>
              <w:spacing w:after="0"/>
              <w:rPr>
                <w:sz w:val="20"/>
                <w:szCs w:val="20"/>
                <w:color w:val="auto"/>
              </w:rPr>
            </w:pPr>
            <w:r>
              <w:rPr>
                <w:rFonts w:ascii="Times New Roman" w:cs="Times New Roman" w:eastAsia="Times New Roman" w:hAnsi="Times New Roman"/>
                <w:sz w:val="19"/>
                <w:szCs w:val="19"/>
                <w:b w:val="1"/>
                <w:bCs w:val="1"/>
                <w:color w:val="auto"/>
                <w:w w:val="99"/>
              </w:rPr>
              <w:t>Acquired</w:t>
            </w:r>
          </w:p>
        </w:tc>
        <w:tc>
          <w:tcPr>
            <w:tcW w:w="50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a</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Acquired</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Acquired</w:t>
            </w:r>
          </w:p>
        </w:tc>
        <w:tc>
          <w:tcPr>
            <w:tcW w:w="94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Payment</w:t>
            </w:r>
          </w:p>
        </w:tc>
        <w:tc>
          <w:tcPr>
            <w:tcW w:w="1620" w:type="dxa"/>
            <w:vAlign w:val="bottom"/>
          </w:tcPr>
          <w:p>
            <w:pPr>
              <w:jc w:val="right"/>
              <w:ind w:right="649"/>
              <w:spacing w:after="0" w:line="153" w:lineRule="exact"/>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3"/>
        </w:trPr>
        <w:tc>
          <w:tcPr>
            <w:tcW w:w="1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1540" w:type="dxa"/>
            <w:vAlign w:val="bottom"/>
            <w:vMerge w:val="continue"/>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Gift?</w:t>
            </w:r>
          </w:p>
        </w:tc>
        <w:tc>
          <w:tcPr>
            <w:tcW w:w="90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9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40" w:orient="portrait"/>
          <w:cols w:equalWidth="0" w:num="1">
            <w:col w:w="10560"/>
          </w:cols>
          <w:pgMar w:left="660" w:top="592" w:right="680" w:bottom="475"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19"/>
                <w:szCs w:val="19"/>
                <w:color w:val="auto"/>
              </w:rPr>
              <w:t>American</w:t>
            </w:r>
          </w:p>
        </w:tc>
        <w:tc>
          <w:tcPr>
            <w:tcW w:w="1180" w:type="dxa"/>
            <w:vAlign w:val="bottom"/>
          </w:tcPr>
          <w:p>
            <w:pPr>
              <w:spacing w:after="0"/>
              <w:rPr>
                <w:sz w:val="22"/>
                <w:szCs w:val="22"/>
                <w:color w:val="auto"/>
              </w:rPr>
            </w:pPr>
          </w:p>
        </w:tc>
        <w:tc>
          <w:tcPr>
            <w:tcW w:w="15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Stock Option</w:t>
            </w:r>
          </w:p>
        </w:tc>
        <w:tc>
          <w:tcPr>
            <w:tcW w:w="17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28"/>
        </w:trPr>
        <w:tc>
          <w:tcPr>
            <w:tcW w:w="1140" w:type="dxa"/>
            <w:vAlign w:val="bottom"/>
          </w:tcPr>
          <w:p>
            <w:pPr>
              <w:spacing w:after="0"/>
              <w:rPr>
                <w:sz w:val="20"/>
                <w:szCs w:val="20"/>
                <w:color w:val="auto"/>
              </w:rPr>
            </w:pPr>
            <w:r>
              <w:rPr>
                <w:rFonts w:ascii="Times New Roman" w:cs="Times New Roman" w:eastAsia="Times New Roman" w:hAnsi="Times New Roman"/>
                <w:sz w:val="19"/>
                <w:szCs w:val="19"/>
                <w:color w:val="auto"/>
              </w:rPr>
              <w:t>Depository</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01/10/2023</w:t>
            </w:r>
          </w:p>
        </w:tc>
        <w:tc>
          <w:tcPr>
            <w:tcW w:w="15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Exercise &amp; RSU</w:t>
            </w:r>
          </w:p>
        </w:tc>
        <w:tc>
          <w:tcPr>
            <w:tcW w:w="17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Issuer</w:t>
            </w: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9"/>
                <w:szCs w:val="19"/>
                <w:color w:val="auto"/>
              </w:rPr>
              <w:t>200000</w:t>
            </w:r>
          </w:p>
        </w:tc>
        <w:tc>
          <w:tcPr>
            <w:tcW w:w="1780" w:type="dxa"/>
            <w:vAlign w:val="bottom"/>
          </w:tcPr>
          <w:p>
            <w:pPr>
              <w:ind w:left="340"/>
              <w:spacing w:after="0"/>
              <w:rPr>
                <w:sz w:val="20"/>
                <w:szCs w:val="20"/>
                <w:color w:val="auto"/>
              </w:rPr>
            </w:pPr>
            <w:r>
              <w:rPr>
                <w:rFonts w:ascii="Times New Roman" w:cs="Times New Roman" w:eastAsia="Times New Roman" w:hAnsi="Times New Roman"/>
                <w:sz w:val="19"/>
                <w:szCs w:val="19"/>
                <w:color w:val="auto"/>
                <w:w w:val="99"/>
              </w:rPr>
              <w:t>01/10/2023 CASH</w:t>
            </w:r>
          </w:p>
        </w:tc>
      </w:tr>
      <w:tr>
        <w:trPr>
          <w:trHeight w:val="286"/>
        </w:trPr>
        <w:tc>
          <w:tcPr>
            <w:tcW w:w="1140" w:type="dxa"/>
            <w:vAlign w:val="bottom"/>
          </w:tcPr>
          <w:p>
            <w:pPr>
              <w:spacing w:after="0"/>
              <w:rPr>
                <w:sz w:val="20"/>
                <w:szCs w:val="20"/>
                <w:color w:val="auto"/>
              </w:rPr>
            </w:pPr>
            <w:r>
              <w:rPr>
                <w:rFonts w:ascii="Times New Roman" w:cs="Times New Roman" w:eastAsia="Times New Roman" w:hAnsi="Times New Roman"/>
                <w:sz w:val="19"/>
                <w:szCs w:val="19"/>
                <w:color w:val="auto"/>
              </w:rPr>
              <w:t>Shares</w:t>
            </w:r>
          </w:p>
        </w:tc>
        <w:tc>
          <w:tcPr>
            <w:tcW w:w="1180" w:type="dxa"/>
            <w:vAlign w:val="bottom"/>
          </w:tcPr>
          <w:p>
            <w:pPr>
              <w:spacing w:after="0"/>
              <w:rPr>
                <w:sz w:val="24"/>
                <w:szCs w:val="24"/>
                <w:color w:val="auto"/>
              </w:rPr>
            </w:pPr>
          </w:p>
        </w:tc>
        <w:tc>
          <w:tcPr>
            <w:tcW w:w="15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Grant</w:t>
            </w:r>
          </w:p>
        </w:tc>
        <w:tc>
          <w:tcPr>
            <w:tcW w:w="1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-310515</wp:posOffset>
            </wp:positionV>
            <wp:extent cx="114300" cy="114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81" w:lineRule="exact"/>
        <w:rPr>
          <w:sz w:val="20"/>
          <w:szCs w:val="20"/>
          <w:color w:val="auto"/>
        </w:rPr>
      </w:pPr>
    </w:p>
    <w:p>
      <w:pPr>
        <w:jc w:val="both"/>
        <w:ind w:firstLine="6"/>
        <w:spacing w:after="0" w:line="268" w:lineRule="auto"/>
        <w:tabs>
          <w:tab w:leader="none" w:pos="145"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as to all securities of the issuer sold during the past 3 months by the person for whose account the securities are to be sold.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Sold During The Past 3 Months</w:t>
      </w:r>
    </w:p>
    <w:p>
      <w:pPr>
        <w:spacing w:after="0" w:line="3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 xml:space="preserve">Nothing to Report </w:t>
      </w:r>
      <w:r>
        <w:rPr>
          <w:sz w:val="1"/>
          <w:szCs w:val="1"/>
          <w:color w:val="auto"/>
        </w:rPr>
        <w:drawing>
          <wp:inline distT="0" distB="0" distL="0" distR="0">
            <wp:extent cx="114300" cy="114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Remarks and Signature</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3360" w:type="dxa"/>
            <w:vAlign w:val="bottom"/>
          </w:tcPr>
          <w:p>
            <w:pPr>
              <w:spacing w:after="0"/>
              <w:rPr>
                <w:sz w:val="20"/>
                <w:szCs w:val="20"/>
                <w:color w:val="auto"/>
              </w:rPr>
            </w:pPr>
            <w:r>
              <w:rPr>
                <w:rFonts w:ascii="Times New Roman" w:cs="Times New Roman" w:eastAsia="Times New Roman" w:hAnsi="Times New Roman"/>
                <w:sz w:val="19"/>
                <w:szCs w:val="19"/>
                <w:color w:val="auto"/>
              </w:rPr>
              <w:t>Remarks</w:t>
            </w:r>
          </w:p>
        </w:tc>
        <w:tc>
          <w:tcPr>
            <w:tcW w:w="3120" w:type="dxa"/>
            <w:vAlign w:val="bottom"/>
          </w:tcPr>
          <w:p>
            <w:pPr>
              <w:spacing w:after="0"/>
              <w:rPr>
                <w:sz w:val="21"/>
                <w:szCs w:val="21"/>
                <w:color w:val="auto"/>
              </w:rPr>
            </w:pPr>
          </w:p>
        </w:tc>
      </w:tr>
      <w:tr>
        <w:trPr>
          <w:trHeight w:val="276"/>
        </w:trPr>
        <w:tc>
          <w:tcPr>
            <w:tcW w:w="3360" w:type="dxa"/>
            <w:vAlign w:val="bottom"/>
          </w:tcPr>
          <w:p>
            <w:pPr>
              <w:spacing w:after="0"/>
              <w:rPr>
                <w:sz w:val="20"/>
                <w:szCs w:val="20"/>
                <w:color w:val="auto"/>
              </w:rPr>
            </w:pPr>
            <w:r>
              <w:rPr>
                <w:rFonts w:ascii="Times New Roman" w:cs="Times New Roman" w:eastAsia="Times New Roman" w:hAnsi="Times New Roman"/>
                <w:sz w:val="19"/>
                <w:szCs w:val="19"/>
                <w:color w:val="auto"/>
              </w:rPr>
              <w:t>Date of Notice</w:t>
            </w:r>
          </w:p>
        </w:tc>
        <w:tc>
          <w:tcPr>
            <w:tcW w:w="3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11/03/2023</w:t>
            </w:r>
          </w:p>
        </w:tc>
      </w:tr>
    </w:tbl>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ATTENTION:</w:t>
      </w:r>
    </w:p>
    <w:p>
      <w:pPr>
        <w:spacing w:after="0" w:line="314" w:lineRule="exact"/>
        <w:rPr>
          <w:sz w:val="20"/>
          <w:szCs w:val="20"/>
          <w:color w:val="auto"/>
        </w:rPr>
      </w:pPr>
    </w:p>
    <w:p>
      <w:pPr>
        <w:jc w:val="both"/>
        <w:ind w:left="40" w:right="40"/>
        <w:spacing w:after="0" w:line="259" w:lineRule="auto"/>
        <w:rPr>
          <w:sz w:val="20"/>
          <w:szCs w:val="20"/>
          <w:color w:val="auto"/>
        </w:rPr>
      </w:pPr>
      <w:r>
        <w:rPr>
          <w:rFonts w:ascii="Times New Roman" w:cs="Times New Roman" w:eastAsia="Times New Roman" w:hAnsi="Times New Roman"/>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9" w:lineRule="exact"/>
        <w:rPr>
          <w:sz w:val="20"/>
          <w:szCs w:val="20"/>
          <w:color w:val="auto"/>
        </w:rPr>
      </w:pPr>
    </w:p>
    <w:p>
      <w:pPr>
        <w:ind w:left="40"/>
        <w:spacing w:after="0"/>
        <w:tabs>
          <w:tab w:leader="none" w:pos="562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9"/>
          <w:szCs w:val="19"/>
          <w:color w:val="auto"/>
        </w:rPr>
        <w:t>/s/ Jinyi Guo</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i w:val="1"/>
          <w:iCs w:val="1"/>
          <w:color w:val="auto"/>
        </w:rPr>
        <w:t>ATTENTION: Intentional misstatements or omission of facts constitute Federal Criminal Violations (See 18 U.S.C. 1001)</w:t>
      </w:r>
    </w:p>
    <w:sectPr>
      <w:pgSz w:w="11900" w:h="16840" w:orient="portrait"/>
      <w:cols w:equalWidth="0" w:num="1">
        <w:col w:w="10580"/>
      </w:cols>
      <w:pgMar w:left="660" w:top="568" w:right="6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2023-11-03T18:12:45Z</dcterms:created>
  <dcterms:modified xsi:type="dcterms:W3CDTF">2023-11-03T18:12:45Z</dcterms:modified>
</cp:coreProperties>
</file>