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April 2025</w:t>
      </w:r>
    </w:p>
    <w:p>
      <w:pPr>
        <w:spacing w:after="0" w:line="22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001-38896</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Luckin Coffee Inc.</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28th Floor, Building T3, Haixi Jingu Plaza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1-3 Taibei Road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Siming District, Xiamen City, Fujian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 361008</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+86-592-3386666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6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Luckin Coffee Inc.</w:t>
            </w:r>
          </w:p>
        </w:tc>
      </w:tr>
      <w:tr>
        <w:trPr>
          <w:trHeight w:val="432"/>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April 29, 2025</w:t>
            </w:r>
          </w:p>
        </w:tc>
        <w:tc>
          <w:tcPr>
            <w:tcW w:w="2100" w:type="dxa"/>
            <w:vAlign w:val="bottom"/>
          </w:tcPr>
          <w:p>
            <w:pPr>
              <w:spacing w:after="0"/>
              <w:rPr>
                <w:sz w:val="24"/>
                <w:szCs w:val="24"/>
                <w:color w:val="auto"/>
              </w:rPr>
            </w:pP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/s/ Jing An</w:t>
            </w:r>
          </w:p>
        </w:tc>
      </w:tr>
      <w:tr>
        <w:trPr>
          <w:trHeight w:val="191"/>
        </w:trPr>
        <w:tc>
          <w:tcPr>
            <w:tcW w:w="460" w:type="dxa"/>
            <w:vAlign w:val="bottom"/>
          </w:tcPr>
          <w:p>
            <w:pPr>
              <w:spacing w:after="0"/>
              <w:rPr>
                <w:sz w:val="16"/>
                <w:szCs w:val="16"/>
                <w:color w:val="auto"/>
              </w:rPr>
            </w:pPr>
          </w:p>
        </w:tc>
        <w:tc>
          <w:tcPr>
            <w:tcW w:w="308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Jing An</w:t>
            </w:r>
          </w:p>
        </w:tc>
      </w:tr>
      <w:tr>
        <w:trPr>
          <w:trHeight w:val="234"/>
        </w:trPr>
        <w:tc>
          <w:tcPr>
            <w:tcW w:w="4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48"/>
        </w:trPr>
        <w:tc>
          <w:tcPr>
            <w:tcW w:w="4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2</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740" w:type="dxa"/>
            <w:vAlign w:val="bottom"/>
          </w:tcPr>
          <w:p>
            <w:pPr>
              <w:jc w:val="center"/>
              <w:ind w:right="241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60" w:type="dxa"/>
            <w:vAlign w:val="bottom"/>
          </w:tcPr>
          <w:p>
            <w:pPr>
              <w:spacing w:after="0"/>
              <w:rPr>
                <w:sz w:val="24"/>
                <w:szCs w:val="24"/>
                <w:color w:val="auto"/>
              </w:rPr>
            </w:pPr>
          </w:p>
        </w:tc>
        <w:tc>
          <w:tcPr>
            <w:tcW w:w="8740" w:type="dxa"/>
            <w:vAlign w:val="bottom"/>
          </w:tcPr>
          <w:p>
            <w:pPr>
              <w:ind w:left="3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24"/>
                <w:szCs w:val="24"/>
                <w:color w:val="auto"/>
              </w:rPr>
            </w:pPr>
          </w:p>
        </w:tc>
        <w:tc>
          <w:tcPr>
            <w:tcW w:w="100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0000EE"/>
              </w:rPr>
              <w:t>Earnings Release</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top w:val="single" w:sz="8" w:color="0000EE"/>
              <w:bottom w:val="single" w:sz="8" w:color="auto"/>
            </w:tcBorders>
          </w:tcPr>
          <w:p>
            <w:pPr>
              <w:spacing w:after="0"/>
              <w:rPr>
                <w:sz w:val="24"/>
                <w:szCs w:val="24"/>
                <w:color w:val="auto"/>
              </w:rPr>
            </w:pPr>
          </w:p>
        </w:tc>
        <w:tc>
          <w:tcPr>
            <w:tcW w:w="8740" w:type="dxa"/>
            <w:vAlign w:val="bottom"/>
            <w:tcBorders>
              <w:bottom w:val="single" w:sz="8" w:color="auto"/>
            </w:tcBorders>
          </w:tcPr>
          <w:p>
            <w:pPr>
              <w:jc w:val="right"/>
              <w:ind w:right="551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156845</wp:posOffset>
            </wp:positionV>
            <wp:extent cx="985520" cy="1045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552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Announces First Quarter 2025 Financial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First Quarter Same-Store Sales Growth for Self-Operated Stores Notably Improved to 8.1%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First Quarter GAAP Operating Margin Expanded Year-over-Year to 8.3%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More than 1,750 Net New Store Openings; Ended Quarter with a Total of 24,097 Stores</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BEIJING, April 29, 2025 (GLOBE NEWSWIRE) </w:t>
      </w:r>
      <w:r>
        <w:rPr>
          <w:rFonts w:ascii="Times New Roman" w:cs="Times New Roman" w:eastAsia="Times New Roman" w:hAnsi="Times New Roman"/>
          <w:sz w:val="18"/>
          <w:szCs w:val="18"/>
          <w:color w:val="auto"/>
        </w:rPr>
        <w:t>— Luckin Coffee Inc. (“Luckin Coffee” or the “Company”) (OTC: LKNCY) today announced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 financial results for the three months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 HIGHLIGHTS</w:t>
      </w:r>
      <w:r>
        <w:rPr>
          <w:rFonts w:ascii="Times New Roman" w:cs="Times New Roman" w:eastAsia="Times New Roman" w:hAnsi="Times New Roman"/>
          <w:sz w:val="29"/>
          <w:szCs w:val="29"/>
          <w:b w:val="1"/>
          <w:bCs w:val="1"/>
          <w:color w:val="auto"/>
          <w:vertAlign w:val="superscript"/>
        </w:rPr>
        <w:t>1</w:t>
      </w:r>
    </w:p>
    <w:p>
      <w:pPr>
        <w:spacing w:after="0" w:line="135"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were RMB8,865.4 million (US$1,220.7 million), representing a 41.2% year-over-year increase.</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6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new store openings </w:t>
      </w:r>
      <w:r>
        <w:rPr>
          <w:rFonts w:ascii="Times New Roman" w:cs="Times New Roman" w:eastAsia="Times New Roman" w:hAnsi="Times New Roman"/>
          <w:sz w:val="18"/>
          <w:szCs w:val="18"/>
          <w:color w:val="auto"/>
        </w:rPr>
        <w:t>were 1,757, comprising 1,743 stores in China (including 5 stores in Hong Kong), 6 stores in Singapore and 8 stores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Malaysia. </w:t>
      </w:r>
      <w:r>
        <w:rPr>
          <w:rFonts w:ascii="Times New Roman" w:cs="Times New Roman" w:eastAsia="Times New Roman" w:hAnsi="Times New Roman"/>
          <w:sz w:val="18"/>
          <w:szCs w:val="18"/>
          <w:b w:val="1"/>
          <w:bCs w:val="1"/>
          <w:color w:val="auto"/>
        </w:rPr>
        <w:t>Total number of stores</w:t>
      </w:r>
      <w:r>
        <w:rPr>
          <w:rFonts w:ascii="Times New Roman" w:cs="Times New Roman" w:eastAsia="Times New Roman" w:hAnsi="Times New Roman"/>
          <w:sz w:val="18"/>
          <w:szCs w:val="18"/>
          <w:color w:val="auto"/>
        </w:rPr>
        <w:t xml:space="preserve"> increased to 24,097 at the first quarter end, comprising 15,598 self-operated stores and 8,499 partnership stores, which represented a store unit growth of 7.9% from the total store count as of the end of fourth quarter of 2024.</w:t>
      </w:r>
    </w:p>
    <w:p>
      <w:pPr>
        <w:spacing w:after="0" w:line="17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Average monthly transacting customers </w:t>
      </w:r>
      <w:r>
        <w:rPr>
          <w:rFonts w:ascii="Times New Roman" w:cs="Times New Roman" w:eastAsia="Times New Roman" w:hAnsi="Times New Roman"/>
          <w:sz w:val="18"/>
          <w:szCs w:val="18"/>
          <w:color w:val="auto"/>
        </w:rPr>
        <w:t>were 74.3 million, representing a 24.0% year-over-year increase.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self-operated stores </w:t>
      </w:r>
      <w:r>
        <w:rPr>
          <w:rFonts w:ascii="Times New Roman" w:cs="Times New Roman" w:eastAsia="Times New Roman" w:hAnsi="Times New Roman"/>
          <w:sz w:val="18"/>
          <w:szCs w:val="18"/>
          <w:color w:val="auto"/>
        </w:rPr>
        <w:t>were RMB6,479.5 million (US$892.2 million), representing a 41.5% year-over-year increase.</w:t>
      </w:r>
    </w:p>
    <w:p>
      <w:pPr>
        <w:spacing w:after="0" w:line="225"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Same-store sales growth for self-operated stores </w:t>
      </w:r>
      <w:r>
        <w:rPr>
          <w:rFonts w:ascii="Times New Roman" w:cs="Times New Roman" w:eastAsia="Times New Roman" w:hAnsi="Times New Roman"/>
          <w:sz w:val="18"/>
          <w:szCs w:val="18"/>
          <w:color w:val="auto"/>
        </w:rPr>
        <w:t>was 8.1%, notably improved from negative 3.4% in the previous quarter, and significantly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improved from negative 20.3% in the same quarter of 2024.</w:t>
      </w:r>
    </w:p>
    <w:p>
      <w:pPr>
        <w:spacing w:after="0" w:line="15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Store-level operating profit – self-operated stores </w:t>
      </w:r>
      <w:r>
        <w:rPr>
          <w:rFonts w:ascii="Times New Roman" w:cs="Times New Roman" w:eastAsia="Times New Roman" w:hAnsi="Times New Roman"/>
          <w:sz w:val="18"/>
          <w:szCs w:val="18"/>
          <w:color w:val="auto"/>
        </w:rPr>
        <w:t>was RMB1,106.3 million (US$152.3 million), representing a 244.8% year-over-year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Store-level operating margin increased by 10.1 percentage points year-over-year to 17.1%.</w:t>
      </w:r>
    </w:p>
    <w:p>
      <w:pPr>
        <w:spacing w:after="0" w:line="1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partnership stores </w:t>
      </w:r>
      <w:r>
        <w:rPr>
          <w:rFonts w:ascii="Times New Roman" w:cs="Times New Roman" w:eastAsia="Times New Roman" w:hAnsi="Times New Roman"/>
          <w:sz w:val="18"/>
          <w:szCs w:val="18"/>
          <w:color w:val="auto"/>
        </w:rPr>
        <w:t>were RMB2,080.8 million (US$286.5 million), representing a 38.0% year-over-year increase.</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GAAP operating income </w:t>
      </w:r>
      <w:r>
        <w:rPr>
          <w:rFonts w:ascii="Times New Roman" w:cs="Times New Roman" w:eastAsia="Times New Roman" w:hAnsi="Times New Roman"/>
          <w:sz w:val="18"/>
          <w:szCs w:val="18"/>
          <w:color w:val="auto"/>
        </w:rPr>
        <w:t>was RMB737.2 million (US$101.5 million), significantly improved from GAAP operating loss of RMB65.1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same quarter last year. GAAP operating margin rebounded to 8.3% from negative 1.0% in the same quarter last year. </w:t>
      </w:r>
      <w:r>
        <w:rPr>
          <w:rFonts w:ascii="Times New Roman" w:cs="Times New Roman" w:eastAsia="Times New Roman" w:hAnsi="Times New Roman"/>
          <w:sz w:val="18"/>
          <w:szCs w:val="18"/>
          <w:b w:val="1"/>
          <w:bCs w:val="1"/>
          <w:color w:val="auto"/>
        </w:rPr>
        <w:t>Non-GAAP operating income</w:t>
      </w:r>
      <w:r>
        <w:rPr>
          <w:rFonts w:ascii="Times New Roman" w:cs="Times New Roman" w:eastAsia="Times New Roman" w:hAnsi="Times New Roman"/>
          <w:sz w:val="18"/>
          <w:szCs w:val="18"/>
          <w:color w:val="auto"/>
        </w:rPr>
        <w:t>, which adjusts for share-based compensation expenses, was RMB864.3 million (US$119.0 million), notably increased from RMB5.0 million in the same quarter last year. Non-GAAP operating margin expanded to 9.7% from 0.1% in the same quarter last year.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 Jinyi Guo, co-founder and Chief Executive Officer of Luckin Coffee, said, “We delivered strong first quarter results, marked by 41% year-over-year revenue growth and healthy margin improvement as we scaled to over 24,000 stores. Notably, our self-operated stores returned to positive same-store sales growth at 8.1%, reflecting rising customer demand as well as the effectiveness of our development strategy. Capitalizing on China’s booming coffee market, we will strategically focus on gaining market share by continuing to offer high-quality products at competitive prices. Backed by our customer-first core values, we strive to strengthen our leadership position through leveraging our scale advantage, high product quality and compelling value proposition, driving long-term sustainable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3" w:lineRule="exact"/>
        <w:rPr>
          <w:sz w:val="20"/>
          <w:szCs w:val="20"/>
          <w:color w:val="auto"/>
        </w:rPr>
      </w:pPr>
    </w:p>
    <w:p>
      <w:pPr>
        <w:ind w:left="5560" w:right="3460" w:hanging="5552"/>
        <w:spacing w:after="0" w:line="623" w:lineRule="auto"/>
        <w:tabs>
          <w:tab w:leader="none" w:pos="131"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Please refer to the section “KEY DEFINITIONS” on Page 5 for detailed definitions on certain terms used.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BOARD LEADERSHIP TRANSITION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Jinyi Guo will cease to be Chairman of the Board of Directors (the “Board”) effective today and will continue serving as Chief Executive Officer and a Board member. Concurrently, the Board has approved the appointment of Mr. Hui Li to return as a director of the Company and assume the role of Chairman.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Hui Li is the Chairman and CEO of Centurium Capital, which is the largest shareholder of the Company. The appointment of Mr. Hui Li as Board Chairman reflects the Company’s sustained focus on long-term value creation for all stakeholders and will further enhance strategic alignment and governance oversight.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Jinyi Guo stated: “I am very pleased to welcome Mr. Hui Li to rejoin the Board and assume the role of Board Chairman. His experiences in business management will significantly contribute to our growth and strategic development both domestically and globally. I will continue to focus on my Chief Executive Officer and director responsibilities, and I look forward to our continued collaboration in advancing our mission and creating long-term, sustainable value to our shareholders.”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Hui Li said: “I am honored to rejoin the Board and take on the role of Chairman at this important time for Luckin Coffee. I want to express my gratitude to Dr. Guo for his exceptional contribution as Chairman and reaffirm our commitment to executing our current strategic initiatives. I look forward to working with Dr. Guo and the broader leadership team to guide the Company’s next growth phase.”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Li is the Chairman and CEO of Centurium Capital. Mr. Li had previously served as a director of the Company until July 2020. In addition, Mr. Li is also Chairman of the board of directors of Taibang Biological Ltd. Previously, Mr. Li was an executive director and a managing director at Warburg Pincus Asia LLC. Prior to joining Warburg Pincus, Mr. Li worked in the investment banking division of Goldman Sachs and Morgan Stanley. Mr. Li obtained a bachelor's degree majoring in economics from Renmin University of China and a master's degree majoring in business administration from Yale University School of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 FINANCIAL RESULTS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were RMB8,865.4 million (US$1,220.7 million), representing an increase of 41.2% from RMB6,278.1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Net revenue growth was primarily driven by a 42.0% year-over-year increase in GMV, which reached RMB10.4 billion, as a result of an increase in the number of products sold resulting from growth in (i) the number of stores in operation as well as (ii) monthly transacting customers.</w:t>
      </w:r>
    </w:p>
    <w:p>
      <w:pPr>
        <w:spacing w:after="0" w:line="171" w:lineRule="exact"/>
        <w:rPr>
          <w:sz w:val="20"/>
          <w:szCs w:val="20"/>
          <w:color w:val="auto"/>
        </w:rPr>
      </w:pPr>
    </w:p>
    <w:p>
      <w:pPr>
        <w:ind w:left="340" w:right="2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product sales </w:t>
      </w:r>
      <w:r>
        <w:rPr>
          <w:rFonts w:ascii="Times New Roman" w:cs="Times New Roman" w:eastAsia="Times New Roman" w:hAnsi="Times New Roman"/>
          <w:sz w:val="18"/>
          <w:szCs w:val="18"/>
          <w:color w:val="auto"/>
        </w:rPr>
        <w:t>were RMB6,784.6 million (US$934.2 million), representing an increase of 42.2% from RMB4,770.2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quarter of 2024.</w:t>
      </w:r>
    </w:p>
    <w:p>
      <w:pPr>
        <w:spacing w:after="0" w:line="15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freshly brewed drinks increased to RMB6,162.7 million (US$848.5 million) from RMB4,351.8 million in the same quarter of 2024. This revenue stream accounted for 69.5% of total net revenues, compared to 69.3% in the same quarter of 2024.</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other products increased to RMB476.8 million (US$65.6 million) from RMB308.1 million in the same quarter of 2024. This revenue stream accounted for 5.4% of total net revenues, compared to 4.9% in the same quarter of 2024.</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others increased to RMB145.1 million (US$20.0 million) from RMB110.2 million in the same quarter of 2024. This revenue stream accounted for 1.6% of total net revenues, compared to 1.8% in the same quarter of 2024.</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partnership stores </w:t>
      </w:r>
      <w:r>
        <w:rPr>
          <w:rFonts w:ascii="Times New Roman" w:cs="Times New Roman" w:eastAsia="Times New Roman" w:hAnsi="Times New Roman"/>
          <w:sz w:val="18"/>
          <w:szCs w:val="18"/>
          <w:color w:val="auto"/>
        </w:rPr>
        <w:t>were RMB2,080.8 million (US$286.5 million), representing an increase of 38.0% from RMB1,508.0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quarter of 2024. This revenue stream accounted for 23.5% of total net revenues, compared to 24.0% in the same quarter of 2024. Revenues from partnership stores included sales of materials of RMB1,440.1 million (US$198.3 million), profit sharing and royalty fee of RMB260.1 million (US$35.8 million), delivery service fees of RMB201.7 million (US$27.8 million), sales of equipment of RMB159.7 million (US$22.0 million), and franchise and other service fees of RMB19.2 million (US$2.6 million).</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RMB8,128.2 million (US$1,119.2 million), representing an increase of 28.1% from RMB6,343.3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The increase primarily resulted from the Company’s business expansion. Meanwhile, operating expenses as a percentage of total net revenues was 91.7%, markedly lower than 101.0% in the same quarter of 2024. The improvement was mainly due to the decrease of cost of materials as a percentage of total net revenues as a result of the Company’s product mix changes and supply chain strength.</w:t>
      </w:r>
    </w:p>
    <w:p>
      <w:pPr>
        <w:spacing w:after="0" w:line="176" w:lineRule="exact"/>
        <w:rPr>
          <w:sz w:val="20"/>
          <w:szCs w:val="20"/>
          <w:color w:val="auto"/>
        </w:rPr>
      </w:pPr>
    </w:p>
    <w:p>
      <w:pPr>
        <w:ind w:left="34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materials </w:t>
      </w:r>
      <w:r>
        <w:rPr>
          <w:rFonts w:ascii="Times New Roman" w:cs="Times New Roman" w:eastAsia="Times New Roman" w:hAnsi="Times New Roman"/>
          <w:sz w:val="18"/>
          <w:szCs w:val="18"/>
          <w:color w:val="auto"/>
        </w:rPr>
        <w:t>were RMB3,573.0 million (US$492.0 million), representing an increase of 21.3% from RMB2,944.4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The increase was mainly due to increases in (i) the number of products sold and (ii) sales of materials to partnership stores.</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63"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rental and other operating costs </w:t>
      </w:r>
      <w:r>
        <w:rPr>
          <w:rFonts w:ascii="Times New Roman" w:cs="Times New Roman" w:eastAsia="Times New Roman" w:hAnsi="Times New Roman"/>
          <w:sz w:val="18"/>
          <w:szCs w:val="18"/>
          <w:color w:val="auto"/>
        </w:rPr>
        <w:t>were RMB2,329.1 million (US$320.7 million), representing an increase of 27.0% from RMB1,833.3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same quarter of 2024. The increase mainly resulted from the increased number of stores and items sold which led to year-over-year increases in</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labor costs, (ii) store rental costs as well as (iii) utilities and other store operating costs.</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Depreciation and amortization expenses </w:t>
      </w:r>
      <w:r>
        <w:rPr>
          <w:rFonts w:ascii="Times New Roman" w:cs="Times New Roman" w:eastAsia="Times New Roman" w:hAnsi="Times New Roman"/>
          <w:sz w:val="18"/>
          <w:szCs w:val="18"/>
          <w:color w:val="auto"/>
        </w:rPr>
        <w:t>were RMB337.8 million (US$46.5 million), representing an increase of 30.2% from RMB259.4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quarter of 2024. The increase was mainly due to increases in (i) amortization of leasehold improvements for the stores and (ii) depreciation expenses of additional equipment put into use in new stores.</w:t>
      </w:r>
    </w:p>
    <w:p>
      <w:pPr>
        <w:spacing w:after="0" w:line="170"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Delivery expenses </w:t>
      </w:r>
      <w:r>
        <w:rPr>
          <w:rFonts w:ascii="Times New Roman" w:cs="Times New Roman" w:eastAsia="Times New Roman" w:hAnsi="Times New Roman"/>
          <w:sz w:val="18"/>
          <w:szCs w:val="18"/>
          <w:color w:val="auto"/>
        </w:rPr>
        <w:t>were RMB689.0 million (US$94.9 million), representing an increase of 53.9% from RMB447.8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The increase was mainly due to the increase in the number of delivery orders.</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Sales and marketing expenses </w:t>
      </w:r>
      <w:r>
        <w:rPr>
          <w:rFonts w:ascii="Times New Roman" w:cs="Times New Roman" w:eastAsia="Times New Roman" w:hAnsi="Times New Roman"/>
          <w:sz w:val="18"/>
          <w:szCs w:val="18"/>
          <w:color w:val="auto"/>
        </w:rPr>
        <w:t>were RMB496.4 million (US$68.4 million), representing an increase of 52.4% from RMB325.8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The increase was mainly driven by increases in (i) advertising and other promotion expenses, (ii) commissions to third-party food delivery and live streaming platforms. Sales and marketing expenses as a percentage of total net revenues was 5.6%, compared to 5.2% in the same quarter of 2024.</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RMB681.2 million (US$93.8 million), representing an increase of 22.4% from RMB556.5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quarter of 2024. The increase was mainly driven by increases in (i) share-based compensation for management and employees, (ii) research and development expenses, and (iii) payroll costs for general and administrative staff. General and administrative expenses as a percentage of total net revenues was 7.7%, compared to 8.9% in the same quarter of 2024.</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preopening and other expenses </w:t>
      </w:r>
      <w:r>
        <w:rPr>
          <w:rFonts w:ascii="Times New Roman" w:cs="Times New Roman" w:eastAsia="Times New Roman" w:hAnsi="Times New Roman"/>
          <w:sz w:val="18"/>
          <w:szCs w:val="18"/>
          <w:color w:val="auto"/>
        </w:rPr>
        <w:t>were RMB14.4 million (US$2.0 million), representing a decrease of 49.5% from RMB28.5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The decrease was mainly due to fewer stores preparing to be opened compared to the same quarter of 2024. Store preopening and other expenses as a percentage of total net revenues was 0.2%, compared to 0.4% in the same quarter of 2024.</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Losses and expenses related to Fabricated Transactions and Restructuring </w:t>
      </w:r>
      <w:r>
        <w:rPr>
          <w:rFonts w:ascii="Times New Roman" w:cs="Times New Roman" w:eastAsia="Times New Roman" w:hAnsi="Times New Roman"/>
          <w:sz w:val="18"/>
          <w:szCs w:val="18"/>
          <w:color w:val="auto"/>
        </w:rPr>
        <w:t>were RMB3.3 million (US$0.5 million), compared to negative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RMB52.5 million in the same period of 2024, as the Company was entitled to receive approximately US$7.3 million (RMB52.7 million) from its primary D&amp;O (“Directors and Officers”) insurance carriers pursuant to an arbitration award in the first quarter of 2024.</w:t>
      </w:r>
    </w:p>
    <w:p>
      <w:pPr>
        <w:spacing w:after="0" w:line="17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Store-level operating profit margin – self-operated stores </w:t>
      </w:r>
      <w:r>
        <w:rPr>
          <w:rFonts w:ascii="Times New Roman" w:cs="Times New Roman" w:eastAsia="Times New Roman" w:hAnsi="Times New Roman"/>
          <w:sz w:val="18"/>
          <w:szCs w:val="18"/>
          <w:color w:val="auto"/>
        </w:rPr>
        <w:t>was 17.1%, expanding by 10.1 percentage points from 7.0% in the same quarter of 2024.</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GAAP operating income </w:t>
      </w:r>
      <w:r>
        <w:rPr>
          <w:rFonts w:ascii="Times New Roman" w:cs="Times New Roman" w:eastAsia="Times New Roman" w:hAnsi="Times New Roman"/>
          <w:sz w:val="18"/>
          <w:szCs w:val="18"/>
          <w:color w:val="auto"/>
        </w:rPr>
        <w:t>was RMB737.2 million (US$101.5 million), significantly improved from GAAP operating loss of RMB65.1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quarter of 2024. GAAP operating margin rebounded to 8.3% from negative 1.0% in the same quarter of 2024. </w:t>
      </w:r>
      <w:r>
        <w:rPr>
          <w:rFonts w:ascii="Times New Roman" w:cs="Times New Roman" w:eastAsia="Times New Roman" w:hAnsi="Times New Roman"/>
          <w:sz w:val="18"/>
          <w:szCs w:val="18"/>
          <w:b w:val="1"/>
          <w:bCs w:val="1"/>
          <w:color w:val="auto"/>
        </w:rPr>
        <w:t>Non-GAAP operating income</w:t>
      </w:r>
      <w:r>
        <w:rPr>
          <w:rFonts w:ascii="Times New Roman" w:cs="Times New Roman" w:eastAsia="Times New Roman" w:hAnsi="Times New Roman"/>
          <w:sz w:val="18"/>
          <w:szCs w:val="18"/>
          <w:color w:val="auto"/>
        </w:rPr>
        <w:t xml:space="preserve"> was RMB864.3 million (US$119.0 million), notably increased from RMB5.0 million in the same quarter of 2024. Non-GAAP operating margin expanded to 9.7% from 0.1% in the same quarter of 2024. For more information on the Company’s non-GAAP financial measures, please see the section “Use of Non-GAAP Financial Measures” and the table captioned “Reconciliation of Non-GAAP Measures to the Most Directly Comparable GAAP Measures” set forth at the end of this press release.</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 expenses </w:t>
      </w:r>
      <w:r>
        <w:rPr>
          <w:rFonts w:ascii="Times New Roman" w:cs="Times New Roman" w:eastAsia="Times New Roman" w:hAnsi="Times New Roman"/>
          <w:sz w:val="18"/>
          <w:szCs w:val="18"/>
          <w:color w:val="auto"/>
        </w:rPr>
        <w:t>were RMB250.0 million (US$34.4 million), compared to RMB32.1 million in the same quarter of 2024. The significant increase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mainly due to the increased profits earned in this quarter.</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RMB525.1 million (US$72.3 million), significantly improved from net loss of RMB83.2 million in the same quarter of 2024. Net 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rose to 5.9% from negative 1.3% in the same quarter of 2024. </w:t>
      </w: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18"/>
          <w:szCs w:val="18"/>
          <w:color w:val="auto"/>
        </w:rPr>
        <w:t xml:space="preserve"> was RMB649.3million (US$89.4 million), notably improved from non-GAAP net loss of RMB13.1 million in the same quarter of 2024. Non-GAAP net margin rose to 7.3% from negative 0.2% in the same quarter of 2024.</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Basic and diluted net income per ADS </w:t>
      </w:r>
      <w:r>
        <w:rPr>
          <w:rFonts w:ascii="Times New Roman" w:cs="Times New Roman" w:eastAsia="Times New Roman" w:hAnsi="Times New Roman"/>
          <w:sz w:val="18"/>
          <w:szCs w:val="18"/>
          <w:color w:val="auto"/>
        </w:rPr>
        <w:t>was RMB1.60 (US$0.24) and RMB1.60 (US$0.24), respectively, compared to basic and diluted net loss per ADS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RMB0.24 and RMB0.24 in the same quarter of 2024, respectively.</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Non-GAAP basic and diluted net income per ADS </w:t>
      </w:r>
      <w:r>
        <w:rPr>
          <w:rFonts w:ascii="Times New Roman" w:cs="Times New Roman" w:eastAsia="Times New Roman" w:hAnsi="Times New Roman"/>
          <w:sz w:val="18"/>
          <w:szCs w:val="18"/>
          <w:color w:val="auto"/>
        </w:rPr>
        <w:t>was RMB2.00 (US$0.24) and RMB2.00 (US$0.24), respectively, compared to non-GAAP basic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diluted net loss per ADS of RMB0.08 and RMB0.08 in the same quarter of 2024, respectively.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cash provided by operating activities </w:t>
      </w:r>
      <w:r>
        <w:rPr>
          <w:rFonts w:ascii="Times New Roman" w:cs="Times New Roman" w:eastAsia="Times New Roman" w:hAnsi="Times New Roman"/>
          <w:sz w:val="18"/>
          <w:szCs w:val="18"/>
          <w:color w:val="auto"/>
        </w:rPr>
        <w:t>was RMB896.6 million (US$123.4 million), compared to net cash used in operating activities of RMB264.4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quarter of 2024.</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restricted cash, term deposits and short-term investments </w:t>
      </w:r>
      <w:r>
        <w:rPr>
          <w:rFonts w:ascii="Times New Roman" w:cs="Times New Roman" w:eastAsia="Times New Roman" w:hAnsi="Times New Roman"/>
          <w:sz w:val="18"/>
          <w:szCs w:val="18"/>
          <w:color w:val="auto"/>
        </w:rPr>
        <w:t>were RMB6,130.1 million (US$844.0 million) as of March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compared to RMB5,934.2 million as of December 31, 2024.</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OPERATING DATA</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44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or as of</w:t>
            </w: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87"/>
        </w:trPr>
        <w:tc>
          <w:tcPr>
            <w:tcW w:w="4420" w:type="dxa"/>
            <w:vAlign w:val="bottom"/>
          </w:tcPr>
          <w:p>
            <w:pPr>
              <w:spacing w:after="0"/>
              <w:rPr>
                <w:sz w:val="16"/>
                <w:szCs w:val="16"/>
                <w:color w:val="auto"/>
              </w:rPr>
            </w:pPr>
          </w:p>
        </w:tc>
        <w:tc>
          <w:tcPr>
            <w:tcW w:w="960" w:type="dxa"/>
            <w:vAlign w:val="bottom"/>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Sep 30,</w:t>
            </w:r>
          </w:p>
        </w:tc>
        <w:tc>
          <w:tcPr>
            <w:tcW w:w="96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Dec 31,</w:t>
            </w:r>
          </w:p>
        </w:tc>
        <w:tc>
          <w:tcPr>
            <w:tcW w:w="102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1000" w:type="dxa"/>
            <w:vAlign w:val="bottom"/>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Jun 30,</w:t>
            </w:r>
          </w:p>
        </w:tc>
        <w:tc>
          <w:tcPr>
            <w:tcW w:w="1020" w:type="dxa"/>
            <w:vAlign w:val="bottom"/>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Sep 30,</w:t>
            </w:r>
          </w:p>
        </w:tc>
        <w:tc>
          <w:tcPr>
            <w:tcW w:w="1000" w:type="dxa"/>
            <w:vAlign w:val="bottom"/>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Dec 31,</w:t>
            </w:r>
          </w:p>
        </w:tc>
        <w:tc>
          <w:tcPr>
            <w:tcW w:w="6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180" w:type="dxa"/>
            <w:vAlign w:val="bottom"/>
          </w:tcPr>
          <w:p>
            <w:pPr>
              <w:spacing w:after="0"/>
              <w:rPr>
                <w:sz w:val="16"/>
                <w:szCs w:val="16"/>
                <w:color w:val="auto"/>
              </w:rPr>
            </w:pPr>
          </w:p>
        </w:tc>
      </w:tr>
      <w:tr>
        <w:trPr>
          <w:trHeight w:val="238"/>
        </w:trPr>
        <w:tc>
          <w:tcPr>
            <w:tcW w:w="44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20"/>
                <w:szCs w:val="20"/>
                <w:color w:val="auto"/>
              </w:rPr>
            </w:pPr>
          </w:p>
        </w:tc>
      </w:tr>
      <w:tr>
        <w:trPr>
          <w:trHeight w:val="20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stores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13,273</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16,248</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18,590</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19,961</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21,343</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22,340</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24,097</w:t>
            </w:r>
          </w:p>
        </w:tc>
        <w:tc>
          <w:tcPr>
            <w:tcW w:w="18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Self-operated stores</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8,807</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10,628</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12,199</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13,056</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13,936</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14,591</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15,598</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 stores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4,466</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5,620</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6,391</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6,905</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7,407</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7,749</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8,499</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Same-store sales growth for self-operated stores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19.9%</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13.5%</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(20.9)%</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(13.1)%</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monthly transacting customers (in thousands)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58,477</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62,438</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59,914</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69,689</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79,846</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77,766</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74,272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DEFINITIONS</w:t>
      </w:r>
    </w:p>
    <w:p>
      <w:pPr>
        <w:spacing w:after="0" w:line="225" w:lineRule="exact"/>
        <w:rPr>
          <w:sz w:val="20"/>
          <w:szCs w:val="20"/>
          <w:color w:val="auto"/>
        </w:rPr>
      </w:pPr>
    </w:p>
    <w:p>
      <w:pPr>
        <w:ind w:left="340" w:right="2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GMV </w:t>
      </w:r>
      <w:r>
        <w:rPr>
          <w:rFonts w:ascii="Times New Roman" w:cs="Times New Roman" w:eastAsia="Times New Roman" w:hAnsi="Times New Roman"/>
          <w:sz w:val="18"/>
          <w:szCs w:val="18"/>
          <w:color w:val="auto"/>
        </w:rPr>
        <w:t>(gross merchandise value) refers to the transaction amount from the sales of freshly brewed and non-freshly brewed items through self-operated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stores and partnership stores.</w:t>
      </w:r>
    </w:p>
    <w:p>
      <w:pPr>
        <w:spacing w:after="0" w:line="3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include revenues from product sales and revenues from partnership stores.</w:t>
      </w:r>
    </w:p>
    <w:p>
      <w:pPr>
        <w:spacing w:after="0" w:line="14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product sales </w:t>
      </w:r>
      <w:r>
        <w:rPr>
          <w:rFonts w:ascii="Times New Roman" w:cs="Times New Roman" w:eastAsia="Times New Roman" w:hAnsi="Times New Roman"/>
          <w:sz w:val="18"/>
          <w:szCs w:val="18"/>
          <w:color w:val="auto"/>
        </w:rPr>
        <w:t>mainly include net revenue from the sales of freshly brewed and non-freshly brewed items through self-operated stores,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e-commerce and revenue from delivery for self-operated stores.</w:t>
      </w:r>
    </w:p>
    <w:p>
      <w:pPr>
        <w:spacing w:after="0" w:line="73"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self-operated stores </w:t>
      </w:r>
      <w:r>
        <w:rPr>
          <w:rFonts w:ascii="Times New Roman" w:cs="Times New Roman" w:eastAsia="Times New Roman" w:hAnsi="Times New Roman"/>
          <w:sz w:val="18"/>
          <w:szCs w:val="18"/>
          <w:color w:val="auto"/>
        </w:rPr>
        <w:t>include net revenue from the sales of freshly brewed and non-freshly brewed items through self-operated stores,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delivery fees derived from self-operated stores paid by the Company’s customers.</w:t>
      </w:r>
    </w:p>
    <w:p>
      <w:pPr>
        <w:spacing w:after="0" w:line="73"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partnership stores </w:t>
      </w:r>
      <w:r>
        <w:rPr>
          <w:rFonts w:ascii="Times New Roman" w:cs="Times New Roman" w:eastAsia="Times New Roman" w:hAnsi="Times New Roman"/>
          <w:sz w:val="18"/>
          <w:szCs w:val="18"/>
          <w:color w:val="auto"/>
        </w:rPr>
        <w:t>include net revenue from the sales of materials, equipment, delivery services, profit sharing and royalty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franchise and other services from partnership stores.</w:t>
      </w:r>
    </w:p>
    <w:p>
      <w:pPr>
        <w:spacing w:after="0" w:line="73"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Same-store sales growth for self-operated stores. </w:t>
      </w:r>
      <w:r>
        <w:rPr>
          <w:rFonts w:ascii="Times New Roman" w:cs="Times New Roman" w:eastAsia="Times New Roman" w:hAnsi="Times New Roman"/>
          <w:sz w:val="18"/>
          <w:szCs w:val="18"/>
          <w:color w:val="auto"/>
        </w:rPr>
        <w:t>Defined as the growth rate of total revenue from self-operated stores that (i) were in operation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beginning of the comparable period and were not closed before the end of the current period and (ii) maintained an average of at least 15 operating days per month over both the current and comparable periods.</w:t>
      </w:r>
    </w:p>
    <w:p>
      <w:pPr>
        <w:spacing w:after="0" w:line="89"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level operating profit – self-operated stores. </w:t>
      </w:r>
      <w:r>
        <w:rPr>
          <w:rFonts w:ascii="Times New Roman" w:cs="Times New Roman" w:eastAsia="Times New Roman" w:hAnsi="Times New Roman"/>
          <w:sz w:val="18"/>
          <w:szCs w:val="18"/>
          <w:color w:val="auto"/>
        </w:rPr>
        <w:t>Calculated by deducting cost for self-operated stores including cost of direct materials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wastage in stores), cost of delivery packaging materials, storage and logistics expenses, commissions to third-party delivery platforms related to revenues from self-operated stores, store depreciation expense (including decoration loss for store closure), store rental and other operating costs, delivery expense, transaction fees, store preopening and other expenses from the Company’s self-operated store revenues.</w:t>
      </w:r>
    </w:p>
    <w:p>
      <w:pPr>
        <w:spacing w:after="0" w:line="95"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Store-level operating profit margin – self-operated stores. </w:t>
      </w:r>
      <w:r>
        <w:rPr>
          <w:rFonts w:ascii="Times New Roman" w:cs="Times New Roman" w:eastAsia="Times New Roman" w:hAnsi="Times New Roman"/>
          <w:sz w:val="18"/>
          <w:szCs w:val="18"/>
          <w:color w:val="auto"/>
        </w:rPr>
        <w:t>Calculated by dividing store-level operating profit by total revenues from self-operated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stores.</w:t>
      </w:r>
    </w:p>
    <w:p>
      <w:pPr>
        <w:spacing w:after="0" w:line="7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Total number of stores</w:t>
      </w:r>
      <w:r>
        <w:rPr>
          <w:rFonts w:ascii="Times New Roman" w:cs="Times New Roman" w:eastAsia="Times New Roman" w:hAnsi="Times New Roman"/>
          <w:sz w:val="18"/>
          <w:szCs w:val="18"/>
          <w:color w:val="auto"/>
        </w:rPr>
        <w:t>. The number of stores open at the ending of the period.</w:t>
      </w:r>
    </w:p>
    <w:p>
      <w:pPr>
        <w:spacing w:after="0" w:line="14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new store openings. </w:t>
      </w:r>
      <w:r>
        <w:rPr>
          <w:rFonts w:ascii="Times New Roman" w:cs="Times New Roman" w:eastAsia="Times New Roman" w:hAnsi="Times New Roman"/>
          <w:sz w:val="18"/>
          <w:szCs w:val="18"/>
          <w:color w:val="auto"/>
        </w:rPr>
        <w:t>The number of gross new stores opened during the period minus the number of stores permanently closed during the period.</w:t>
      </w:r>
    </w:p>
    <w:p>
      <w:pPr>
        <w:spacing w:after="0" w:line="14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Average monthly transacting customers</w:t>
      </w:r>
      <w:r>
        <w:rPr>
          <w:rFonts w:ascii="Times New Roman" w:cs="Times New Roman" w:eastAsia="Times New Roman" w:hAnsi="Times New Roman"/>
          <w:sz w:val="18"/>
          <w:szCs w:val="18"/>
          <w:color w:val="auto"/>
        </w:rPr>
        <w:t>. The total of each month’s number of transacting customers divided by the number of months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(includes those of partnership stores and those only paid with free-coupons).</w:t>
      </w:r>
    </w:p>
    <w:p>
      <w:pPr>
        <w:spacing w:after="0" w:line="7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Non-GAAP operating income/(loss)</w:t>
      </w:r>
      <w:r>
        <w:rPr>
          <w:rFonts w:ascii="Times New Roman" w:cs="Times New Roman" w:eastAsia="Times New Roman" w:hAnsi="Times New Roman"/>
          <w:sz w:val="18"/>
          <w:szCs w:val="18"/>
          <w:color w:val="auto"/>
        </w:rPr>
        <w:t>. Calculated by operating income/(loss) excluding share-based compensation expenses.</w:t>
      </w:r>
    </w:p>
    <w:p>
      <w:pPr>
        <w:spacing w:after="0" w:line="14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Non-GAAP net income/(loss)</w:t>
      </w:r>
      <w:r>
        <w:rPr>
          <w:rFonts w:ascii="Times New Roman" w:cs="Times New Roman" w:eastAsia="Times New Roman" w:hAnsi="Times New Roman"/>
          <w:sz w:val="18"/>
          <w:szCs w:val="18"/>
          <w:color w:val="auto"/>
        </w:rPr>
        <w:t>. Calculated by net income/(loss) excluding recurring item of share-based compensation expenses and income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effects of GAAP to non-GAAP reconciling items. From the fourth quarter of 2024, the Company added income tax effects of GAAP to non-GAAP reconciling items when reconciling adjustments from GAAP to Non-GAAP net income/(loss). Comparative figures were also adjusted accordingly.</w:t>
      </w:r>
    </w:p>
    <w:p>
      <w:pPr>
        <w:spacing w:after="0" w:line="89"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net income/(loss) attributable to the Company’s ordinary shareholders. </w:t>
      </w:r>
      <w:r>
        <w:rPr>
          <w:rFonts w:ascii="Times New Roman" w:cs="Times New Roman" w:eastAsia="Times New Roman" w:hAnsi="Times New Roman"/>
          <w:sz w:val="18"/>
          <w:szCs w:val="18"/>
          <w:color w:val="auto"/>
        </w:rPr>
        <w:t>Calculated by adjusting net income/(loss) attributable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ordinary shareholders excluding recurring item of share-based compensation expenses and income tax effects of GAAP to non-GAAP reconciling items. From the fourth quarter of 2024, the Company added income tax effects of GAAP to non-GAAP reconciling items when reconciling adjustments from GAAP to Non-GAAP net income/(loss) attributable to the Company’s ordinary shareholders. Comparative figures were also adjusted accordingly.</w:t>
      </w:r>
    </w:p>
    <w:p>
      <w:pPr>
        <w:spacing w:after="0" w:line="98"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basic and diluted net income/(loss) per shares. </w:t>
      </w:r>
      <w:r>
        <w:rPr>
          <w:rFonts w:ascii="Times New Roman" w:cs="Times New Roman" w:eastAsia="Times New Roman" w:hAnsi="Times New Roman"/>
          <w:sz w:val="18"/>
          <w:szCs w:val="18"/>
          <w:color w:val="auto"/>
        </w:rPr>
        <w:t>Calculated as non-GAAP net income/(loss) attributable to the Company’s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divided by weighted average number of basic and diluted share.</w:t>
      </w:r>
    </w:p>
    <w:p>
      <w:pPr>
        <w:spacing w:after="0" w:line="73"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basic and diluted net income/(loss) per ADSs. </w:t>
      </w:r>
      <w:r>
        <w:rPr>
          <w:rFonts w:ascii="Times New Roman" w:cs="Times New Roman" w:eastAsia="Times New Roman" w:hAnsi="Times New Roman"/>
          <w:sz w:val="18"/>
          <w:szCs w:val="18"/>
          <w:color w:val="auto"/>
        </w:rPr>
        <w:t>Calculated as non-GAAP net income/(loss) attributable to the Company’s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divided by weighted average number of basic and diluted ADS.</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the business, the Company considers and uses non-GAAP operating income/(loss) and non-GAAP net income/(loss), each a non-GAAP financial measure, in reviewing and assessing the Company’s operating performance. The presentation of these non-GAAP financial measures is not intended to be considered in isolation or as a substitute for the financial information prepared and presented in accordance with U.S. GAAP. The Company presents these non-GAAP financial measures because they are used by the Company’s management to evaluate operating performance and formulate business plans. The Company believes that the non-GAAP financial measures help identify underlying trends in the Company’s business, provide further information about the Company’s results of operations and enhance the overall understanding of the Company’s past performance and future prospects.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non-GAAP financial measures are not defined under U.S. GAAP and are not presented in accordance with U.S. GAAP. The non-GAAP financial measures have limitations as analytical tools. The Company’s non-GAAP financial measures do not reflect all items of income and expense that affect the Company’s operations and do not represent the residual cash flow available for discretionary expenditures. Furthermore, these non-GAAP measures may differ from the non-GAAP information used by other companies, including peer companies, and therefore their comparability may be limited. The Company compensates for these limitations by reconciling the non-GAAP financial measures to the nearest U.S. GAAP performance measure, all of which should be considered when evaluating the Company’s performance. The Company encourages investors and others to review the Company’s financial information in its entirety and not rely on a single financial measure.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defines non-GAAP operating income/(loss) as operating income/(loss) excluding share-based compensation expenses, non-GAAP net income/(loss) as net income/(loss) excluding recurring item of share-based compensation expenses and income tax effects of GAAP to non-GAAP reconciling items, and non-GAAP net income/(loss) attributable to the Company’s ordinary shareholders as net income/(loss) attributable to the Company’s ordinary shareholders excluding recurring item of share-based compensation expenses and income tax effects of GAAP to non-GAAP reconciling items.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 non-GAAP financial measures, please see the table captioned “Reconciliation of Non-GAAP Measures to the Most Directly Comparable GAAP Measures” set forth at the end of this earnings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earnings release contains translations of certain RMB amounts into U.S. dollars (“US$”) at specified rates solely for the convenience of the reader. Unless otherwise noted, all translations from RMB to US$ were made at the rate of RMB7.2628 to US$1.00, the exchange rate on March 28, 2025 set forth in the H.10 statistical release of the Federal Reserve Board. The Company makes no representation that the RMB or US$ amounts referred could be converted into US$ or RMB, as the case may be, at any particular rate or at all.</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hold a conference call today, on Tuesday, April 29, 2025, at 8:00 am Eastern Time (or Tuesday, April 29, 2025, at 8:00 pm Beijing Time) to discuss the financial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may access the call by dialing the following numbers:</w:t>
      </w:r>
    </w:p>
    <w:p>
      <w:pPr>
        <w:spacing w:after="0" w:line="25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Toll Free:</w:t>
            </w:r>
          </w:p>
        </w:tc>
        <w:tc>
          <w:tcPr>
            <w:tcW w:w="17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7"/>
              </w:rPr>
              <w:t>+1-888-317-6003</w:t>
            </w:r>
          </w:p>
        </w:tc>
      </w:tr>
      <w:tr>
        <w:trPr>
          <w:trHeight w:val="27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7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7"/>
              </w:rPr>
              <w:t>+1-412-317-6061</w:t>
            </w:r>
          </w:p>
        </w:tc>
      </w:tr>
      <w:tr>
        <w:trPr>
          <w:trHeight w:val="27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 Toll Free:</w:t>
            </w:r>
          </w:p>
        </w:tc>
        <w:tc>
          <w:tcPr>
            <w:tcW w:w="1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400-120-6115</w:t>
            </w:r>
          </w:p>
        </w:tc>
      </w:tr>
      <w:tr>
        <w:trPr>
          <w:trHeight w:val="27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Hong Kong Toll Free:</w:t>
            </w:r>
          </w:p>
        </w:tc>
        <w:tc>
          <w:tcPr>
            <w:tcW w:w="1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800-963-976</w:t>
            </w:r>
          </w:p>
        </w:tc>
      </w:tr>
      <w:tr>
        <w:trPr>
          <w:trHeight w:val="27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Conference ID:</w:t>
            </w:r>
          </w:p>
        </w:tc>
        <w:tc>
          <w:tcPr>
            <w:tcW w:w="1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6425454</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replay will be accessible through May 6, 2025, by dialing the following numbers:</w:t>
      </w:r>
    </w:p>
    <w:p>
      <w:pPr>
        <w:spacing w:after="0" w:line="25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Toll Free:</w:t>
            </w:r>
          </w:p>
        </w:tc>
        <w:tc>
          <w:tcPr>
            <w:tcW w:w="18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7"/>
              </w:rPr>
              <w:t>+1-877-344-7529</w:t>
            </w:r>
          </w:p>
        </w:tc>
      </w:tr>
      <w:tr>
        <w:trPr>
          <w:trHeight w:val="27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8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7"/>
              </w:rPr>
              <w:t>+1-412-317-0088</w:t>
            </w:r>
          </w:p>
        </w:tc>
      </w:tr>
      <w:tr>
        <w:trPr>
          <w:trHeight w:val="27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Access Code:</w:t>
            </w:r>
          </w:p>
        </w:tc>
        <w:tc>
          <w:tcPr>
            <w:tcW w:w="1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8971484</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of the conference call will also be available at the Company’s investor relations website at </w:t>
      </w:r>
      <w:r>
        <w:rPr>
          <w:rFonts w:ascii="Times New Roman" w:cs="Times New Roman" w:eastAsia="Times New Roman" w:hAnsi="Times New Roman"/>
          <w:sz w:val="18"/>
          <w:szCs w:val="18"/>
          <w:u w:val="single" w:color="auto"/>
          <w:color w:val="auto"/>
        </w:rPr>
        <w:t>investor.lkcoffee.com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earnings release contains forward-looking statements within the meaning of Section 21E of the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Luckin Coffee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Any statements that are not historical facts, including statements about Luckin Coffee’s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expense, timing and outcome of existing or future legal and governmental proceedings or investigations in connection with Luckin Coffee; the outcome and effect of the restructuring of Luckin Coffee’s financial obligations; Luckin Coffee’s growth strategies; its future business development, results of operations and financial condition; the effect of the non-reliance identified in, and the resultant restatement of, certain of Luckin Coffee’s previously issued financial results; the effectiveness of its internal control; its ability to retain and attract its customers; its ability to maintain and enhance the recognition and reputation of its brand; its ability to maintain and improve quality control policies and measures; its ability to establish and maintain relationships with its suppliers and business partners; trends and competition in the coffee industry or the food and beverage sector in general; changes in its revenues and certain cost or expense items; the expected growth of China’s coffee industry or China’s food and beverage sector in general; governmental policies and regulations relating to Luckin Coffee’s industry; and general economic and business conditions globally and in China and assumptions underlying or related to any of the foregoing. Further information regarding these and other risks, uncertainties or factors is included in Luckin Coffee’s filings with the SEC. All information provided in this press release and in the attachments is as of the date of this press release, and Luckin Coffee undertakes no obligation to update any forward-looking statement, except as required under applicable law.</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STATEMENT REGARDING PRELIMINARY UNAUDITED FINANCIAL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financial information set out in this earnings release is preliminary and subject to potential adjustments. Adjustments to the consolidated financial statements may be identified when audit work has been performed for the Company’s year-end audit, which could result in significant differences from this preliminary unaudited financial information. Accordingly, you should not place undue reliance upon these preliminary estimates. The preliminary unaudited financial information included in this press release has been prepared by, and is the responsibility of, the Company’s management. The Company’s auditor has not audited, reviewed, compiled or applied agreed-upon procedures with respect to such preliminary financial data. Accordingly, the Company’s auditor does not express an opinion or any other form of assurance with respect thereto. Upon completion of the year-end audit, the Company’s audited financial results may differ materially from its preliminary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LUCKIN COFFEE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Luckin Coffee Inc. (OTC: LKNCY) has pioneered a technology-driven retail network to provide coffee and other products of high quality, high convenience and high affordability to customers. Empowered by proprietary technologies, Luckin Coffee pursues its vision to build a world-class coffee brand and become a part of everyone’s daily life. Luckin Coffee was founded in 2017 and is based in China. For more information, please visit investor.lkcoffee.com.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Luckin Coffee 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ir@lkcoffee.com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Zima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646 880 9039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Luckin Coffee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pr@lkcoffee.com</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(Amounts in thousands of RMB and US$, except for number of shares)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980" w:type="dxa"/>
            <w:vAlign w:val="bottom"/>
          </w:tcPr>
          <w:p>
            <w:pPr>
              <w:spacing w:after="0"/>
              <w:rPr>
                <w:sz w:val="16"/>
                <w:szCs w:val="16"/>
                <w:color w:val="auto"/>
              </w:rPr>
            </w:pPr>
          </w:p>
        </w:tc>
        <w:tc>
          <w:tcPr>
            <w:tcW w:w="148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680" w:type="dxa"/>
            <w:vAlign w:val="bottom"/>
            <w:gridSpan w:val="4"/>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84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84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4,362,309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4,535,846</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624,531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3,781</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deposit - current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1,127,541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1,147,305</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157,970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34,422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111,251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113,024</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15,562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online payment platforms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438,458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312,192</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42,985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2,473,393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2,737,378</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376,904</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1,938,054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2,147,934</w:t>
            </w: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295,745</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10,704,787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11,247,460</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1,548,640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5,065,903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5,100,219</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702,239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40,595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43,179</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5,945</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Term deposit – non-current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20,653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929,165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916,660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126,213</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271,601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268,936</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37,029</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5,937,063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5,983,512</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823,857</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12,394,327</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12,462,506</w:t>
            </w:r>
          </w:p>
        </w:tc>
        <w:tc>
          <w:tcPr>
            <w:tcW w:w="2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1,715,936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23,099,114</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23,709,966</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3,264,576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EQUITY</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bank borrowings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738,677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840,910</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115,783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3,027,503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3,160,147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435,114</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153,248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148,706</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20,476</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for equity litigants settlement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119,560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118,983</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16,383</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2,343,387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2,416,111</w:t>
            </w: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332,669</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6,682,375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6,684,857</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920,425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Long-term bank borrowings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49,470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6,811</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3,330,529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3,283,445</w:t>
            </w: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452,091</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3,364,129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3,332,915</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458,902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10,046,504</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10,017,772</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1,379,327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Preferred Shares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1,514,660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1,514,660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208,550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16,705,240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16,832,423</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2,317,622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365,927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365,923</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50,383</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(5,971,779)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(5,446,717)</w:t>
            </w:r>
          </w:p>
        </w:tc>
        <w:tc>
          <w:tcPr>
            <w:tcW w:w="4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(749,947)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438,536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425,879</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58,638</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Company’s ordinary shareholders’ equity</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11,537,950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12,177,534</w:t>
            </w: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1,676,699</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23,099,114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23,709,966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3,264,576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5560"/>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98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162"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RMB and US$, except for number of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4260" w:type="dxa"/>
            <w:vAlign w:val="bottom"/>
            <w:gridSpan w:val="7"/>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r>
      <w:tr>
        <w:trPr>
          <w:trHeight w:val="223"/>
        </w:trPr>
        <w:tc>
          <w:tcPr>
            <w:tcW w:w="69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98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9"/>
                <w:szCs w:val="19"/>
                <w:color w:val="auto"/>
              </w:rPr>
            </w:pPr>
          </w:p>
        </w:tc>
        <w:tc>
          <w:tcPr>
            <w:tcW w:w="15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product sales</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4,770,160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6,784,569</w:t>
            </w: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934,153</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partnership stores</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1,507,983</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2,080,842</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286,507</w:t>
            </w: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6,278,143</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8,865,411</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1,220,660</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Cost of materials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(2,944,430)</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(3,572,996)</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(491,958)</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rental and other operating costs</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(1,833,275)</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(2,329,127)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(320,693)</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(259,397)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(337,754)</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(46,505)</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Delivery expenses</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(447,795)</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(688,950)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(94,860)</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(325,829)</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(496,436)</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(68,353)</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(556,543)</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(681,211)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(93,795)</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Store preopening and other expenses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(28,504)</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(14,398)</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(1,982)</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of long-lived assets</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(4,026)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Losses and expenses related to Fabricated Transactions and Restructuring</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52,523</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(3,345)</w:t>
            </w: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(6,343,250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(8,128,243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(1,119,161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(65,107)</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737,168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101,499</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16,155</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36,577</w:t>
            </w: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5,036</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financing expenses</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 net</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(12,153)</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(4,414)</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10,067</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5,889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811</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income/(loss) before income taxes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(51,038)</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775,095</w:t>
            </w:r>
          </w:p>
        </w:tc>
        <w:tc>
          <w:tcPr>
            <w:tcW w:w="140" w:type="dxa"/>
            <w:vAlign w:val="bottom"/>
          </w:tcPr>
          <w:p>
            <w:pPr>
              <w:spacing w:after="0"/>
              <w:rPr>
                <w:sz w:val="19"/>
                <w:szCs w:val="19"/>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106,721</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(32,136</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(250,037</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(34,427</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63"/>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(83,174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525,058</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72,294</w:t>
            </w:r>
          </w:p>
        </w:tc>
        <w:tc>
          <w:tcPr>
            <w:tcW w:w="100" w:type="dxa"/>
            <w:vAlign w:val="bottom"/>
            <w:tcBorders>
              <w:bottom w:val="single" w:sz="8" w:color="CCEEFF"/>
            </w:tcBorders>
          </w:tcPr>
          <w:p>
            <w:pPr>
              <w:spacing w:after="0"/>
              <w:rPr>
                <w:sz w:val="22"/>
                <w:szCs w:val="22"/>
                <w:color w:val="auto"/>
              </w:rPr>
            </w:pPr>
          </w:p>
        </w:tc>
      </w:tr>
      <w:tr>
        <w:trPr>
          <w:trHeight w:val="196"/>
        </w:trPr>
        <w:tc>
          <w:tcPr>
            <w:tcW w:w="69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income/(loss) attributable to the Company’s ordinary shareholders</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(83,174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525,058</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72,294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 per share: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(0.03)</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income/(loss) per ADS: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(0.24)</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(0.24)</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0.24</w:t>
            </w:r>
          </w:p>
        </w:tc>
      </w:tr>
      <w:tr>
        <w:trPr>
          <w:trHeight w:val="194"/>
        </w:trPr>
        <w:tc>
          <w:tcPr>
            <w:tcW w:w="6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 outstanding used in calculating basic and diluted income per</w:t>
            </w: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2,545,551,167</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2,564,658,460</w:t>
            </w: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2,564,658,460</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2,545,551,167</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2,566,169,868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2,566,169,868</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(83,174)</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525,058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72,294</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 net of tax of nil:</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difference, net of tax of nil</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11,754</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(12,657)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income/(loss)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(71,420)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512,401</w:t>
            </w:r>
          </w:p>
        </w:tc>
        <w:tc>
          <w:tcPr>
            <w:tcW w:w="140" w:type="dxa"/>
            <w:vAlign w:val="bottom"/>
          </w:tcPr>
          <w:p>
            <w:pPr>
              <w:spacing w:after="0"/>
              <w:rPr>
                <w:sz w:val="19"/>
                <w:szCs w:val="19"/>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70,551</w:t>
            </w: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income/(loss) attributable to ordinary shareholders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(71,420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512,401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2" w:lineRule="auto"/>
        <w:tabs>
          <w:tab w:leader="none" w:pos="1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represents eight Class A Ordinary Shares. The per ADS indicators are based on rounded results of corresponding per ordinary share indicators, which could have a rounding difference of absolute amount for not more than 0.04 per ADS.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RMB and US$)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426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1700" w:type="dxa"/>
            <w:vAlign w:val="bottom"/>
            <w:tcBorders>
              <w:top w:val="single" w:sz="8" w:color="auto"/>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7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(264,362)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896,586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123,449</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(951,848)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(375,850)</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(51,750)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(333,600)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(45,932)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 and restricted cash</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(11,015)</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increase/(decrease) in cash and cash equivalents and restricted cash</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(1,214,298)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176,121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beginning of period</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3,038,643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4,406,685</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606,747</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end of period</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1,824,345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4,582,806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630,997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552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98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MEASURES TO THE MOST DIRECTLY COMPARABLE 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of RMB and US$, except for number of shares and per share data)</w:t>
      </w:r>
    </w:p>
    <w:p>
      <w:pPr>
        <w:spacing w:after="0" w:line="20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58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RMB</w:t>
            </w: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   Non-GAAP operating income/(loss)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(65,107)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737,168</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101,499</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70,099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127,180</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17,511</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4,992</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864,348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119,010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   Non-GAAP net income/(loss)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(83,174)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525,058</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72,294</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70,099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127,180</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17,511</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effects of GAAP to non-GAAP reconciling items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(399)</w:t>
            </w:r>
          </w:p>
        </w:tc>
      </w:tr>
      <w:tr>
        <w:trPr>
          <w:trHeight w:val="20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net income/(loss)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(13,075)</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649,337</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89,406</w:t>
            </w:r>
          </w:p>
        </w:tc>
        <w:tc>
          <w:tcPr>
            <w:tcW w:w="10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income/(loss) attributable to the Company’s ordinary shareholders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(13,075)</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649,337</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89,406</w:t>
            </w:r>
          </w:p>
        </w:tc>
        <w:tc>
          <w:tcPr>
            <w:tcW w:w="100" w:type="dxa"/>
            <w:vAlign w:val="bottom"/>
            <w:shd w:val="clear" w:color="auto" w:fill="CCEEFF"/>
          </w:tcPr>
          <w:p>
            <w:pPr>
              <w:spacing w:after="0"/>
              <w:rPr>
                <w:sz w:val="18"/>
                <w:szCs w:val="18"/>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   Non-GAAP net income/(loss) per share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69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 outstanding used in calculating basic and diluted income/(loss)</w:t>
            </w: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2,545,551,167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2,564,658,460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2,564,658,460</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2,545,551,167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2,566,169,868</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2,566,169,868</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net income/(loss) per share: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net income/(loss) per ADS: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r>
    </w:tbl>
    <w:p>
      <w:pPr>
        <w:spacing w:after="0" w:line="179" w:lineRule="exact"/>
        <w:rPr>
          <w:sz w:val="20"/>
          <w:szCs w:val="20"/>
          <w:color w:val="auto"/>
        </w:rPr>
      </w:pPr>
    </w:p>
    <w:p>
      <w:pPr>
        <w:ind w:firstLine="8"/>
        <w:spacing w:after="0" w:line="282" w:lineRule="auto"/>
        <w:tabs>
          <w:tab w:leader="none" w:pos="1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represents eight Class A Ordinary Shares. The per ADS indicators are based on rounded results of corresponding per ordinary share indicators, which could have a rounding difference of absolute amount for not more than 0.04 per ADS.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2025-04-29T06:10:24Z</dcterms:created>
  <dcterms:modified xsi:type="dcterms:W3CDTF">2025-04-29T06:10:24Z</dcterms:modified>
</cp:coreProperties>
</file>