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4"/>
                <w:szCs w:val="24"/>
                <w:color w:val="auto"/>
              </w:rPr>
            </w:pPr>
          </w:p>
        </w:tc>
        <w:tc>
          <w:tcPr>
            <w:tcW w:w="9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900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Files 2024 Annual Report on Form 20-F</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BEIJING, March 31, 2025 (GLOBE NEWSWIRE) </w:t>
      </w:r>
      <w:r>
        <w:rPr>
          <w:rFonts w:ascii="Times New Roman" w:cs="Times New Roman" w:eastAsia="Times New Roman" w:hAnsi="Times New Roman"/>
          <w:sz w:val="18"/>
          <w:szCs w:val="18"/>
          <w:color w:val="auto"/>
        </w:rPr>
        <w:t>— Luckin Coffee Inc. (“Luckin Coffee” or the “Company”) (OTC: LKNCY)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filed its annual report on Form 20-F for the fiscal year ended December 31, 2024 (the “2024 Annual Report”) with the U.S. Securities and Exchange Commission (the “SEC”).</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2024 Annual Report, which contains Luckin Coffee’s audited consolidated financial statements prepared under U.S. GAAP as of and for the fiscal year ended December 31, 2024, can be accessed on the SEC’s website and on the Company’s investor relations website at </w:t>
      </w:r>
      <w:r>
        <w:rPr>
          <w:rFonts w:ascii="Times New Roman" w:cs="Times New Roman" w:eastAsia="Times New Roman" w:hAnsi="Times New Roman"/>
          <w:sz w:val="18"/>
          <w:szCs w:val="18"/>
          <w:u w:val="single" w:color="auto"/>
          <w:color w:val="auto"/>
        </w:rPr>
        <w:t>https://investor.lkcoffee.com/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21E of the U.S.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China’s coffee industry or China’s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Luckin Coffee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pr@lkcoffee.com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2025-03-31T07:09:35Z</dcterms:created>
  <dcterms:modified xsi:type="dcterms:W3CDTF">2025-03-31T07:09:35Z</dcterms:modified>
</cp:coreProperties>
</file>