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0001975383</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28TH FLOOR, BUILDING T3</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HAIXI JINGU PLAZA 1-3 TAIBEI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Cao Wenbao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151 Queen Street</w:t>
            </w:r>
          </w:p>
        </w:tc>
        <w:tc>
          <w:tcPr>
            <w:tcW w:w="128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4000000.00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Auckland CBD  Q2</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1010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266231521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11/18/2025   OTC</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12/31/2022</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 Incentive</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65482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12/31/2022 Cashless</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representing</w:t>
            </w:r>
          </w:p>
        </w:tc>
        <w:tc>
          <w:tcPr>
            <w:tcW w:w="1100" w:type="dxa"/>
            <w:vAlign w:val="bottom"/>
            <w:vMerge w:val="continue"/>
          </w:tcPr>
          <w:p>
            <w:pPr>
              <w:spacing w:after="0"/>
              <w:rPr>
                <w:sz w:val="21"/>
                <w:szCs w:val="21"/>
                <w:color w:val="auto"/>
              </w:rPr>
            </w:pP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Plans</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eight Class A</w:t>
            </w:r>
          </w:p>
        </w:tc>
        <w:tc>
          <w:tcPr>
            <w:tcW w:w="1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12/31/2023</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 Incentive</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34518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12/31/2023 Cashless</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representing</w:t>
            </w:r>
          </w:p>
        </w:tc>
        <w:tc>
          <w:tcPr>
            <w:tcW w:w="110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Plans</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-1180465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line="230" w:lineRule="auto"/>
        <w:rPr>
          <w:sz w:val="20"/>
          <w:szCs w:val="20"/>
          <w:color w:val="auto"/>
        </w:rPr>
      </w:pPr>
      <w:r>
        <w:rPr>
          <w:rFonts w:ascii="Times New Roman" w:cs="Times New Roman" w:eastAsia="Times New Roman" w:hAnsi="Times New Roman"/>
          <w:sz w:val="22"/>
          <w:szCs w:val="22"/>
          <w:color w:val="auto"/>
        </w:rPr>
        <w:t>eight Class 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11/18/2025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Jiawei Wang as duly authorized representative of Beijing Yixinxiangshang Technology Co Ltd as attorney-in-fact</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for Wenbao Cao</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2025-11-18T07:44:52Z</dcterms:created>
  <dcterms:modified xsi:type="dcterms:W3CDTF">2025-11-18T07:44:52Z</dcterms:modified>
</cp:coreProperties>
</file>