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0002096323</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28th Flr, Building T3, HaixiJingu Plaza</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1-3 Taibei Road, 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36188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86-592-338-6666</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Camel Zhengkai Limited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Major shareholder with more than 5%</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Goldman Sachs &amp; Co.</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each representing</w:t>
        <w:tab/>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eight Class A ordinary</w:t>
      </w:r>
      <w:r>
        <w:rPr>
          <w:sz w:val="20"/>
          <w:szCs w:val="20"/>
          <w:color w:val="auto"/>
        </w:rPr>
        <w:tab/>
      </w:r>
      <w:r>
        <w:rPr>
          <w:rFonts w:ascii="Times New Roman" w:cs="Times New Roman" w:eastAsia="Times New Roman" w:hAnsi="Times New Roman"/>
          <w:sz w:val="21"/>
          <w:szCs w:val="21"/>
          <w:color w:val="auto"/>
        </w:rPr>
        <w:t>200 West Street</w:t>
      </w:r>
    </w:p>
    <w:p>
      <w:pPr>
        <w:spacing w:after="0" w:line="1"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New York  NY  10282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544346</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18371677.50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269267174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PINK</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920" w:type="dxa"/>
            <w:vAlign w:val="bottom"/>
          </w:tcPr>
          <w:p>
            <w:pPr>
              <w:ind w:left="15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each</w:t>
            </w:r>
          </w:p>
        </w:tc>
        <w:tc>
          <w:tcPr>
            <w:tcW w:w="4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2"/>
                <w:szCs w:val="22"/>
                <w:color w:val="auto"/>
                <w:w w:val="98"/>
              </w:rPr>
              <w:t>05/12/2025 Distributed in kind Cameleer II L.P.</w:t>
            </w:r>
          </w:p>
        </w:tc>
        <w:tc>
          <w:tcPr>
            <w:tcW w:w="26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25653293</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05/12/2025 N/A</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w:t>
            </w:r>
          </w:p>
        </w:tc>
        <w:tc>
          <w:tcPr>
            <w:tcW w:w="4400" w:type="dxa"/>
            <w:vAlign w:val="bottom"/>
            <w:gridSpan w:val="2"/>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30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1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The 25,653,293 securities acquired by Camel Zhengkai Limited from Cameleer II L.P. through a distribution in kind</w:t>
            </w:r>
          </w:p>
        </w:tc>
        <w:tc>
          <w:tcPr>
            <w:tcW w:w="0" w:type="dxa"/>
            <w:vAlign w:val="bottom"/>
          </w:tcPr>
          <w:p>
            <w:pPr>
              <w:spacing w:after="0"/>
              <w:rPr>
                <w:sz w:val="1"/>
                <w:szCs w:val="1"/>
                <w:color w:val="auto"/>
              </w:rPr>
            </w:pPr>
          </w:p>
        </w:tc>
      </w:tr>
      <w:tr>
        <w:trPr>
          <w:trHeight w:val="282"/>
        </w:trPr>
        <w:tc>
          <w:tcPr>
            <w:tcW w:w="880" w:type="dxa"/>
            <w:vAlign w:val="bottom"/>
            <w:vMerge w:val="continue"/>
          </w:tcPr>
          <w:p>
            <w:pPr>
              <w:spacing w:after="0"/>
              <w:rPr>
                <w:sz w:val="24"/>
                <w:szCs w:val="24"/>
                <w:color w:val="auto"/>
              </w:rPr>
            </w:pPr>
          </w:p>
        </w:tc>
        <w:tc>
          <w:tcPr>
            <w:tcW w:w="10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were in the form of Class A ordinary shares.</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05/05/2026</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Jun Liu on behalf of Camel Zhengkai Limited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2026-05-05T05:29:36Z</dcterms:created>
  <dcterms:modified xsi:type="dcterms:W3CDTF">2026-05-05T05:29:36Z</dcterms:modified>
</cp:coreProperties>
</file>