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 w:type="dxa"/>
            <w:vAlign w:val="bottom"/>
          </w:tcPr>
          <w:p>
            <w:pPr>
              <w:spacing w:after="0"/>
              <w:rPr>
                <w:sz w:val="24"/>
                <w:szCs w:val="24"/>
                <w:color w:val="auto"/>
              </w:rPr>
            </w:pPr>
          </w:p>
        </w:tc>
        <w:tc>
          <w:tcPr>
            <w:tcW w:w="90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900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Files 2025 Annual Report on Form 20-F</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BEIJING, March 27, 2026 (GLOBE NEWSWIRE) </w:t>
      </w:r>
      <w:r>
        <w:rPr>
          <w:rFonts w:ascii="Times New Roman" w:cs="Times New Roman" w:eastAsia="Times New Roman" w:hAnsi="Times New Roman"/>
          <w:sz w:val="18"/>
          <w:szCs w:val="18"/>
          <w:color w:val="auto"/>
        </w:rPr>
        <w:t>— Luckin Coffee Inc. (“Luckin Coffee” or the “Company”) (OTC: LKNCY) today announced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filed its annual report on Form 20-F for the fiscal year ended December 31, 2025 (the “2025 Annual Report”) with the U.S. Securities and Exchange Commission (the “SEC”).</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2025 Annual Report, which contains Luckin Coffee’s audited consolidated financial statements prepared under U.S. GAAP as of and for the fiscal year ended December 31, 2025, can be accessed on the SEC’s website and on the Company’s investor relations website at </w:t>
      </w:r>
      <w:r>
        <w:rPr>
          <w:rFonts w:ascii="Times New Roman" w:cs="Times New Roman" w:eastAsia="Times New Roman" w:hAnsi="Times New Roman"/>
          <w:sz w:val="18"/>
          <w:szCs w:val="18"/>
          <w:u w:val="single" w:color="auto"/>
          <w:color w:val="auto"/>
        </w:rPr>
        <w:t>https://investor.lkcoffee.com/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21E of the U.S.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China’s coffee industry or China’s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Luckin Coffee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pr@lkcoffee.com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2026-03-27T07:08:59Z</dcterms:created>
  <dcterms:modified xsi:type="dcterms:W3CDTF">2026-03-27T07:08:59Z</dcterms:modified>
</cp:coreProperties>
</file>