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Jing An</w:t>
            </w:r>
          </w:p>
        </w:tc>
      </w:tr>
      <w:tr>
        <w:trPr>
          <w:trHeight w:val="191"/>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740" w:type="dxa"/>
            <w:vAlign w:val="bottom"/>
          </w:tcPr>
          <w:p>
            <w:pPr>
              <w:jc w:val="center"/>
              <w:ind w:right="241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60" w:type="dxa"/>
            <w:vAlign w:val="bottom"/>
          </w:tcPr>
          <w:p>
            <w:pPr>
              <w:spacing w:after="0"/>
              <w:rPr>
                <w:sz w:val="24"/>
                <w:szCs w:val="24"/>
                <w:color w:val="auto"/>
              </w:rPr>
            </w:pPr>
          </w:p>
        </w:tc>
        <w:tc>
          <w:tcPr>
            <w:tcW w:w="874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Earnings Release</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874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156845</wp:posOffset>
            </wp:positionV>
            <wp:extent cx="1114425" cy="1114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Announces Fourth Quarter and Fiscal Year 2025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Fourth Quarter Net Revenues Increased by 32.9% Year-over-Year to RMB12.8 Billion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Fourth Quarter Average Monthly Transacting Customers Increased by 26.5% Year-over-Year to 98.4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8,708 Net New Store Openings in 2025; Ending the Year with 31,048 Stores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February 26, 2026 (GLOBE NEWSWIRE) </w:t>
      </w:r>
      <w:r>
        <w:rPr>
          <w:rFonts w:ascii="Times New Roman" w:cs="Times New Roman" w:eastAsia="Times New Roman" w:hAnsi="Times New Roman"/>
          <w:sz w:val="18"/>
          <w:szCs w:val="18"/>
          <w:color w:val="auto"/>
        </w:rPr>
        <w:t>— Luckin Coffee Inc. (“Luckin Coffee” or the “Company”) (OTC: LKNCY)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 financial results for the three months and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HIGHLIGHTS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RMB12,776.8 million (US$1,823.6 million), representing a 32.9% year-over-year increase.</w:t>
      </w:r>
    </w:p>
    <w:p>
      <w:pPr>
        <w:spacing w:after="0" w:line="225" w:lineRule="exact"/>
        <w:rPr>
          <w:sz w:val="20"/>
          <w:szCs w:val="20"/>
          <w:color w:val="auto"/>
        </w:rPr>
      </w:pPr>
    </w:p>
    <w:p>
      <w:pPr>
        <w:jc w:val="both"/>
        <w:ind w:left="380" w:hanging="319"/>
        <w:spacing w:after="0" w:line="268" w:lineRule="auto"/>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were 1,834, comprising 1,792 stores in China (including Hong Kong), 13 stores in Singapore, 25 stores in Malaysia and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stores in the U.S. </w:t>
      </w: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xml:space="preserve"> increased to 31,048 at the fourth quarter end, comprising 20,234 self-operated stores and 10,814 partnership stores, which represented a store unit growth of 6.3% from the total store count as of the end of the third quarter of 2025.</w:t>
      </w:r>
    </w:p>
    <w:p>
      <w:pPr>
        <w:spacing w:after="0" w:line="171"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Average monthly transacting customers </w:t>
      </w:r>
      <w:r>
        <w:rPr>
          <w:rFonts w:ascii="Times New Roman" w:cs="Times New Roman" w:eastAsia="Times New Roman" w:hAnsi="Times New Roman"/>
          <w:sz w:val="18"/>
          <w:szCs w:val="18"/>
          <w:color w:val="auto"/>
        </w:rPr>
        <w:t>were 98.4 million, representing a 26.5% year-over-year increase.</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were RMB9,546.8 million (US$1,362.6 million), representing a 32.0% year-over-year increase.</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was 1.2%, improved from negative 3.4% in the same quarter of 2024.</w:t>
      </w:r>
    </w:p>
    <w:p>
      <w:pPr>
        <w:spacing w:after="0" w:line="225" w:lineRule="exact"/>
        <w:rPr>
          <w:sz w:val="20"/>
          <w:szCs w:val="20"/>
          <w:color w:val="auto"/>
        </w:rPr>
      </w:pPr>
    </w:p>
    <w:p>
      <w:pPr>
        <w:jc w:val="both"/>
        <w:ind w:left="380" w:hanging="319"/>
        <w:spacing w:after="0" w:line="286" w:lineRule="auto"/>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Store-level operating profit – self-operated stores </w:t>
      </w:r>
      <w:r>
        <w:rPr>
          <w:rFonts w:ascii="Times New Roman" w:cs="Times New Roman" w:eastAsia="Times New Roman" w:hAnsi="Times New Roman"/>
          <w:sz w:val="18"/>
          <w:szCs w:val="18"/>
          <w:color w:val="auto"/>
        </w:rPr>
        <w:t>was RMB1,429.2 million (US$204.0 million), largely remaining flat year-over-year. Store level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margin was 15.0%, compared to 19.8% in the same quarter of 2024.</w:t>
      </w:r>
    </w:p>
    <w:p>
      <w:pPr>
        <w:spacing w:after="0" w:line="15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RMB2,846.7 million (US$406.3 million), representing a 39.2% year-over-year increase.</w:t>
      </w:r>
    </w:p>
    <w:p>
      <w:pPr>
        <w:spacing w:after="0" w:line="225" w:lineRule="exact"/>
        <w:rPr>
          <w:sz w:val="20"/>
          <w:szCs w:val="20"/>
          <w:color w:val="auto"/>
        </w:rPr>
      </w:pPr>
    </w:p>
    <w:p>
      <w:pPr>
        <w:jc w:val="both"/>
        <w:ind w:left="380" w:hanging="319"/>
        <w:spacing w:after="0" w:line="262" w:lineRule="auto"/>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RMB821.4 million (US$117.2 million), compared to RMB1,007.8 million in the same quarter of 2024.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margin was 6.4%, compared to 10.5% in the same quarter of 2024. Non-GAAP operating income, which adjusts for share-based compensation expenses, was RMB963.8 million (US$137.6 million), compared to RMB1,104.4 million in the same quarter of 2024. Non-GAAP operating margin was 7.5%, compared to 11.5% in the same quarter of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Please refer to the section “KEY DEFINITIONS” on Page 5 for detailed definitions on certain terms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FISCAL YEAR 2025 HIGHLIGHTS</w:t>
      </w:r>
    </w:p>
    <w:p>
      <w:pPr>
        <w:spacing w:after="0" w:line="225" w:lineRule="exact"/>
        <w:rPr>
          <w:sz w:val="20"/>
          <w:szCs w:val="20"/>
          <w:color w:val="auto"/>
        </w:rPr>
      </w:pPr>
    </w:p>
    <w:p>
      <w:pPr>
        <w:ind w:left="400" w:hanging="325"/>
        <w:spacing w:after="0"/>
        <w:tabs>
          <w:tab w:leader="none" w:pos="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RMB49,288.1 million (US$7,034.8 million), representing a 43.0% year-over-year increase.</w:t>
      </w:r>
    </w:p>
    <w:p>
      <w:pPr>
        <w:spacing w:after="0" w:line="225" w:lineRule="exact"/>
        <w:rPr>
          <w:rFonts w:ascii="Times New Roman" w:cs="Times New Roman" w:eastAsia="Times New Roman" w:hAnsi="Times New Roman"/>
          <w:sz w:val="18"/>
          <w:szCs w:val="18"/>
          <w:color w:val="auto"/>
        </w:rPr>
      </w:pPr>
    </w:p>
    <w:p>
      <w:pPr>
        <w:jc w:val="both"/>
        <w:ind w:left="380" w:hanging="318"/>
        <w:spacing w:after="0" w:line="268"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were 8,708, comprising 8,599 stores in China (including Hong Kong), 30 stores in Singapore, 70 stores in Malaysia and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stores in the U.S. </w:t>
      </w: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xml:space="preserve"> increased by 39.0% year-over-year to 31,048, comprising 20,234 self-operated stores and 10,814 partnership stores.</w:t>
      </w:r>
    </w:p>
    <w:p>
      <w:pPr>
        <w:spacing w:after="0" w:line="170" w:lineRule="exact"/>
        <w:rPr>
          <w:rFonts w:ascii="Times New Roman" w:cs="Times New Roman" w:eastAsia="Times New Roman" w:hAnsi="Times New Roman"/>
          <w:sz w:val="18"/>
          <w:szCs w:val="18"/>
          <w:color w:val="auto"/>
        </w:rPr>
      </w:pPr>
    </w:p>
    <w:p>
      <w:pPr>
        <w:ind w:left="400" w:hanging="325"/>
        <w:spacing w:after="0"/>
        <w:tabs>
          <w:tab w:leader="none" w:pos="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transacting customers </w:t>
      </w:r>
      <w:r>
        <w:rPr>
          <w:rFonts w:ascii="Times New Roman" w:cs="Times New Roman" w:eastAsia="Times New Roman" w:hAnsi="Times New Roman"/>
          <w:sz w:val="18"/>
          <w:szCs w:val="18"/>
          <w:color w:val="auto"/>
        </w:rPr>
        <w:t>were 94.2 million, representing a 31.1% year-over-year increase.</w:t>
      </w:r>
    </w:p>
    <w:p>
      <w:pPr>
        <w:spacing w:after="0" w:line="225"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were RMB36,242.8 million (US$5,172.9 million), representing a 41.6% year-over-year increase.</w:t>
      </w:r>
    </w:p>
    <w:p>
      <w:pPr>
        <w:spacing w:after="0" w:line="225"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was 7.5%, significantly improved from negative 16.7% in the fiscal year 2024.</w:t>
      </w:r>
    </w:p>
    <w:p>
      <w:pPr>
        <w:spacing w:after="0" w:line="225"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 self-operated stores </w:t>
      </w:r>
      <w:r>
        <w:rPr>
          <w:rFonts w:ascii="Times New Roman" w:cs="Times New Roman" w:eastAsia="Times New Roman" w:hAnsi="Times New Roman"/>
          <w:sz w:val="18"/>
          <w:szCs w:val="18"/>
          <w:color w:val="auto"/>
        </w:rPr>
        <w:t>was RMB6,436.1 million (US$918.6 million), representing a 32.2% year-over-year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Store-level operating margin was 17.8%, compared to 19.0% in the fiscal year 2024.</w:t>
      </w:r>
    </w:p>
    <w:p>
      <w:pPr>
        <w:spacing w:after="0" w:line="154"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RMB11,593.7 million (US$1,654.8 million), representing a 49.7% year-over-year increase.</w:t>
      </w:r>
    </w:p>
    <w:p>
      <w:pPr>
        <w:spacing w:after="0" w:line="225" w:lineRule="exact"/>
        <w:rPr>
          <w:rFonts w:ascii="Times New Roman" w:cs="Times New Roman" w:eastAsia="Times New Roman" w:hAnsi="Times New Roman"/>
          <w:sz w:val="18"/>
          <w:szCs w:val="18"/>
          <w:color w:val="auto"/>
        </w:rPr>
      </w:pPr>
    </w:p>
    <w:p>
      <w:pPr>
        <w:jc w:val="both"/>
        <w:ind w:left="380" w:hanging="318"/>
        <w:spacing w:after="0" w:line="262"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RMB5,072.9 million (US$724.1 million), representing a 42.1% year-over-year increase. GAAP operating margin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10.3%, compared to 10.4% in the fiscal year 2024.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which adjusts for share-based compensation expenses, was RMB5,646.1 million (US$805.9 million), representing a 43.5% year-over-year increase. Non-GAAP operating margin was 11.5%, compared to 11.4% in the fiscal year 2024.</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Dr. Jinyi Guo, Co-founder and CEO of Luckin Coffee, said, “Our 2025 results reflect the strength of our scale-focused execution, as we achieved robust growth amid shifting market dynamics. We finished the year strong, reaching our 30,000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-store milestone and expanding our cumulative transacting customer base to over 450 million. This expanded scale reinforced our market leadership and further strengthened our ability to capture the structural tailwinds of China’s coffee market, where competitive advantages are increasingly defined by end-to-end operational and systematic capabilities. Looking ahead to 2026, we remain focused on offering high-quality, great-value products that resonate with customers, while continuing to scale our business to drive long-term shareholder value.”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RMB12,776.8 million (US$1,823.6 million), representing an increase of 32.9% from RMB9,613.3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Net revenues growth was primarily driven by a 32.8% year-over-year increase in GMV, which reached RMB14.8 billion, as a result of an increase in the number of products sold resulting from growth in (i) the number of stores in operation as well as (ii) monthly transacting customers.</w:t>
      </w:r>
    </w:p>
    <w:p>
      <w:pPr>
        <w:spacing w:after="0" w:line="171" w:lineRule="exact"/>
        <w:rPr>
          <w:sz w:val="20"/>
          <w:szCs w:val="20"/>
          <w:color w:val="auto"/>
        </w:rPr>
      </w:pPr>
    </w:p>
    <w:p>
      <w:pPr>
        <w:ind w:left="380" w:right="20" w:hanging="318"/>
        <w:spacing w:after="0" w:line="286"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were RMB9,930.1 million (US$1,417.3 million), representing an increase of 31.2% from RMB7,567.5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w:t>
      </w:r>
    </w:p>
    <w:p>
      <w:pPr>
        <w:spacing w:after="0" w:line="15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freshly brewed drinks increased to RMB9,150.6 million (US$1,306.1 million) from RMB6,924.5 million in the same quarter of 2024. This revenue stream accounted for 71.6% of total net revenues, compared to 72.0% in the same quarter of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products increased to RMB605.1 million (US$86.4 million) from RMB496.0 million in the same quarter of 2024. This revenue stream accounted for 4.7% of total net revenues, compared to 5.2% in the same quarter of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others increased to RMB174.4 million (US$24.9 million) from RMB147.0 million in the same quarter of 2024. This revenue stream accounted for 1.4% of total net revenues, compared to 1.5% in the same quarter of 2024.</w:t>
      </w:r>
    </w:p>
    <w:p>
      <w:pPr>
        <w:spacing w:after="0" w:line="157" w:lineRule="exact"/>
        <w:rPr>
          <w:rFonts w:ascii="Times New Roman" w:cs="Times New Roman" w:eastAsia="Times New Roman" w:hAnsi="Times New Roman"/>
          <w:sz w:val="18"/>
          <w:szCs w:val="18"/>
          <w:color w:val="auto"/>
        </w:rPr>
      </w:pPr>
    </w:p>
    <w:p>
      <w:pPr>
        <w:jc w:val="both"/>
        <w:ind w:left="380" w:hanging="318"/>
        <w:spacing w:after="0" w:line="259"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RMB2,846.7 million (US$406.3 million), representing an increase of 39.2% from RMB2,045.8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This revenue stream accounted for 22.3% of total net revenues, compared to 21.3% in the same quarter of 2024. Revenues from partnership stores included sales of materials of RMB1,744.4 million (US$249.0 million), delivery service fees of RMB506.6 million (US$72.3 million), profit sharing and royalty fee of RMB387.9 million (US$55.4 million), sales of equipment of RMB187.7 million (US$26.8 million), and franchise and other service fees of RMB20.0 million (US$2.9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RMB11,955.4 million (US$1,706.4 million), representing an increase of 38.9% from RMB8,605.5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The increase primarily resulted from the Company’s business expansion. Operating expenses as a percentage of net revenues was 93.6%, compared to 89.5% in the same quarter of 2024. The ratio change was primarily attributable to rising delivery expenses as a percentage of total net revenues due to the increase in fourth-quarter delivery orders.</w:t>
      </w:r>
    </w:p>
    <w:p>
      <w:pPr>
        <w:spacing w:after="0" w:line="176" w:lineRule="exact"/>
        <w:rPr>
          <w:sz w:val="20"/>
          <w:szCs w:val="20"/>
          <w:color w:val="auto"/>
        </w:rPr>
      </w:pPr>
    </w:p>
    <w:p>
      <w:pPr>
        <w:ind w:left="380" w:hanging="318"/>
        <w:spacing w:after="0" w:line="28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materials </w:t>
      </w:r>
      <w:r>
        <w:rPr>
          <w:rFonts w:ascii="Times New Roman" w:cs="Times New Roman" w:eastAsia="Times New Roman" w:hAnsi="Times New Roman"/>
          <w:sz w:val="18"/>
          <w:szCs w:val="18"/>
          <w:color w:val="auto"/>
        </w:rPr>
        <w:t>were RMB5,107.8 million (US$729.0 million), representing an increase of 33.2% from RMB3,834.4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increase was mainly due to increases in (i) the number of products sold and (ii) sales of materials to partnership stores.</w:t>
      </w:r>
    </w:p>
    <w:p>
      <w:pPr>
        <w:spacing w:after="0" w:line="154" w:lineRule="exact"/>
        <w:rPr>
          <w:rFonts w:ascii="Times New Roman" w:cs="Times New Roman" w:eastAsia="Times New Roman" w:hAnsi="Times New Roman"/>
          <w:sz w:val="18"/>
          <w:szCs w:val="18"/>
          <w:color w:val="auto"/>
        </w:rPr>
      </w:pPr>
    </w:p>
    <w:p>
      <w:pPr>
        <w:jc w:val="both"/>
        <w:ind w:left="380" w:hanging="318"/>
        <w:spacing w:after="0" w:line="263"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rental and other operating costs </w:t>
      </w:r>
      <w:r>
        <w:rPr>
          <w:rFonts w:ascii="Times New Roman" w:cs="Times New Roman" w:eastAsia="Times New Roman" w:hAnsi="Times New Roman"/>
          <w:sz w:val="18"/>
          <w:szCs w:val="18"/>
          <w:color w:val="auto"/>
        </w:rPr>
        <w:t>were RMB3,150.6 million (US$449.7 million), representing an increase of 32.8% from RMB2,372.3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quarter of 2024. The increase mainly resulted from the increased number of stores and items sold which led to year-over-year increases in</w:t>
      </w: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labor costs, (ii) store rental costs as well as (iii) utilities and other store operating costs.</w:t>
      </w:r>
    </w:p>
    <w:p>
      <w:pPr>
        <w:spacing w:after="0" w:line="202" w:lineRule="exact"/>
        <w:rPr>
          <w:rFonts w:ascii="Times New Roman" w:cs="Times New Roman" w:eastAsia="Times New Roman" w:hAnsi="Times New Roman"/>
          <w:sz w:val="18"/>
          <w:szCs w:val="18"/>
          <w:color w:val="auto"/>
        </w:rPr>
      </w:pPr>
    </w:p>
    <w:p>
      <w:pPr>
        <w:jc w:val="both"/>
        <w:ind w:left="380" w:hanging="318"/>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were RMB434.3 million (US$62.0 million), representing an increase of 30.9% from RMB331.8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The increase was mainly due to increases in (i) amortization of leasehold improvements for the stores and (ii) depreciation expenses of additional equipment put into use in new stores.</w:t>
      </w:r>
    </w:p>
    <w:p>
      <w:pPr>
        <w:spacing w:after="0" w:line="170"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expenses </w:t>
      </w:r>
      <w:r>
        <w:rPr>
          <w:rFonts w:ascii="Times New Roman" w:cs="Times New Roman" w:eastAsia="Times New Roman" w:hAnsi="Times New Roman"/>
          <w:sz w:val="18"/>
          <w:szCs w:val="18"/>
          <w:color w:val="auto"/>
        </w:rPr>
        <w:t>were RMB1,630.9 million (US$232.8 million), representing an increase of 94.5% from RMB838.7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significant increase was mainly driven by the rise in delivery volumes from the third-party food delivery platforms.</w:t>
      </w:r>
    </w:p>
    <w:p>
      <w:pPr>
        <w:spacing w:after="0" w:line="154" w:lineRule="exact"/>
        <w:rPr>
          <w:rFonts w:ascii="Times New Roman" w:cs="Times New Roman" w:eastAsia="Times New Roman" w:hAnsi="Times New Roman"/>
          <w:sz w:val="18"/>
          <w:szCs w:val="18"/>
          <w:color w:val="auto"/>
        </w:rPr>
      </w:pPr>
    </w:p>
    <w:p>
      <w:pPr>
        <w:jc w:val="both"/>
        <w:ind w:left="380" w:hanging="318"/>
        <w:spacing w:after="0" w:line="26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RMB755.6 million (US$107.8 million), representing an increase of 31.9% from RMB572.9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The increase was mainly driven by increases in (i) commissions to the third-party food delivery and live streaming platforms, (ii) advertising and other promotion expenses and (iii) payroll costs for sales and marketing staff. Sales and marketing expenses as a percentage of total net revenues was 5.9%, similar to 6.0% in the same quarter of 2024.</w:t>
      </w:r>
    </w:p>
    <w:p>
      <w:pPr>
        <w:spacing w:after="0" w:line="176" w:lineRule="exact"/>
        <w:rPr>
          <w:rFonts w:ascii="Times New Roman" w:cs="Times New Roman" w:eastAsia="Times New Roman" w:hAnsi="Times New Roman"/>
          <w:sz w:val="18"/>
          <w:szCs w:val="18"/>
          <w:color w:val="auto"/>
        </w:rPr>
      </w:pPr>
    </w:p>
    <w:p>
      <w:pPr>
        <w:jc w:val="both"/>
        <w:ind w:left="380" w:hanging="318"/>
        <w:spacing w:after="0" w:line="26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RMB846.2 million (US$120.8 million), representing an increase of 32.7% from RMB637.6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The increase was mainly driven by increases in (i) payroll costs for general and administrative staff, (ii) share-based compensation for management and employees, (iii) office expenses, and (iv) research and development expenses. General and administrative expenses as a percentage of total net revenues was 6.6%, flat compared to 6.6% in the same quarter of 2024.</w:t>
      </w:r>
    </w:p>
    <w:p>
      <w:pPr>
        <w:spacing w:after="0" w:line="176" w:lineRule="exact"/>
        <w:rPr>
          <w:rFonts w:ascii="Times New Roman" w:cs="Times New Roman" w:eastAsia="Times New Roman" w:hAnsi="Times New Roman"/>
          <w:sz w:val="18"/>
          <w:szCs w:val="18"/>
          <w:color w:val="auto"/>
        </w:rPr>
      </w:pPr>
    </w:p>
    <w:p>
      <w:pPr>
        <w:jc w:val="both"/>
        <w:ind w:left="380" w:right="20" w:hanging="318"/>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preopening and other expenses </w:t>
      </w:r>
      <w:r>
        <w:rPr>
          <w:rFonts w:ascii="Times New Roman" w:cs="Times New Roman" w:eastAsia="Times New Roman" w:hAnsi="Times New Roman"/>
          <w:sz w:val="18"/>
          <w:szCs w:val="18"/>
          <w:color w:val="auto"/>
        </w:rPr>
        <w:t>were RMB25.7 million (US$3.7 million), representing an increase of 88.9% from RMB13.6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 mainly due to more stores preparing to be opened compared to the same quarter of 2024. Store preopening and other expenses as a percentage of total net revenues was 0.2%, compared to 0.1% of total net revenues in the same quarter of 2024.</w:t>
      </w:r>
    </w:p>
    <w:p>
      <w:pPr>
        <w:spacing w:after="0" w:line="170"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Losses and expenses related to Fabricated Transactions and Restructuring </w:t>
      </w:r>
      <w:r>
        <w:rPr>
          <w:rFonts w:ascii="Times New Roman" w:cs="Times New Roman" w:eastAsia="Times New Roman" w:hAnsi="Times New Roman"/>
          <w:sz w:val="18"/>
          <w:szCs w:val="18"/>
          <w:color w:val="auto"/>
        </w:rPr>
        <w:t>were RMB1.4 million (US$0.2 million), compared to RMB4.2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quarter of 2024.</w:t>
      </w:r>
    </w:p>
    <w:p>
      <w:pPr>
        <w:spacing w:after="0" w:line="154" w:lineRule="exact"/>
        <w:rPr>
          <w:rFonts w:ascii="Times New Roman" w:cs="Times New Roman" w:eastAsia="Times New Roman" w:hAnsi="Times New Roman"/>
          <w:sz w:val="18"/>
          <w:szCs w:val="18"/>
          <w:color w:val="auto"/>
        </w:rPr>
      </w:pPr>
    </w:p>
    <w:p>
      <w:pPr>
        <w:ind w:left="400" w:hanging="325"/>
        <w:spacing w:after="0"/>
        <w:tabs>
          <w:tab w:leader="none" w:pos="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margin – self-operated stores </w:t>
      </w:r>
      <w:r>
        <w:rPr>
          <w:rFonts w:ascii="Times New Roman" w:cs="Times New Roman" w:eastAsia="Times New Roman" w:hAnsi="Times New Roman"/>
          <w:sz w:val="18"/>
          <w:szCs w:val="18"/>
          <w:color w:val="auto"/>
        </w:rPr>
        <w:t>was 15.0%, compared to 19.8% in the same quarter of 2024.</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RMB821.4 million (US$117.2 million), compared to RMB1,007.8 million in the same quarter of 2024. GAAP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margin was 6.4%, compared to 10.5% in the same quarter of 2024.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was RMB963.8 million (US$137.6 million), compared to RMB1,104.4 million in the same quarter of 2024. Non-GAAP operating margin was 7.5%, compared to 11.5% in the same quarter of 2024. For more information on the Company’s non-GAAP financial measures, please see the section “Use of Non-GAAP Financial Measures” and the table captioned “Reconciliation of Non-GAAP Measures to the Most Directly Comparable GAAP Measures” set forth at the end of this press release.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expenses </w:t>
      </w:r>
      <w:r>
        <w:rPr>
          <w:rFonts w:ascii="Times New Roman" w:cs="Times New Roman" w:eastAsia="Times New Roman" w:hAnsi="Times New Roman"/>
          <w:sz w:val="18"/>
          <w:szCs w:val="18"/>
          <w:color w:val="auto"/>
        </w:rPr>
        <w:t>were RMB330.3 million (US$47.1 million), compared to RMB147.7 million in the same quarter of 2024. The increase was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the continued profit and the accrual of withholding tax of undistributed earnings for certain entities in mainland China with cumulative profits.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RMB518.2 million (US$74.0 million), compared to RMB850.7 million in the same quarter of 2024. Net margin was 4.1%,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 in the same quarter of 2024. Non-GAAP net income was RMB698.6 million (US$99.7 million), compared to RMB937.5 million in the same quarter of 2024. Non-GAAP net margin was 5.5%, compared to 9.8% in the same quarter of 2024.</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per ADS </w:t>
      </w:r>
      <w:r>
        <w:rPr>
          <w:rFonts w:ascii="Times New Roman" w:cs="Times New Roman" w:eastAsia="Times New Roman" w:hAnsi="Times New Roman"/>
          <w:sz w:val="18"/>
          <w:szCs w:val="18"/>
          <w:color w:val="auto"/>
        </w:rPr>
        <w:t>was RMB1.60 (US$0.24) and RMB1.60 (US$0.24), respectively, compared to RMB2.64 and RMB2.64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 respectively.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basic and diluted net income per ADS </w:t>
      </w:r>
      <w:r>
        <w:rPr>
          <w:rFonts w:ascii="Times New Roman" w:cs="Times New Roman" w:eastAsia="Times New Roman" w:hAnsi="Times New Roman"/>
          <w:sz w:val="18"/>
          <w:szCs w:val="18"/>
          <w:color w:val="auto"/>
        </w:rPr>
        <w:t>was RMB2.16 (US$0.32) and RMB2.16 (US$0.32), respectively, compared to RMB2.96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RMB2.96 in the same quarter of 2024,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RMB564.8 million (US$80.6 million), compared to RMB1,628.4 million in the same quarter of 2024.</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term deposits and short-term investments </w:t>
      </w:r>
      <w:r>
        <w:rPr>
          <w:rFonts w:ascii="Times New Roman" w:cs="Times New Roman" w:eastAsia="Times New Roman" w:hAnsi="Times New Roman"/>
          <w:sz w:val="18"/>
          <w:szCs w:val="18"/>
          <w:color w:val="auto"/>
        </w:rPr>
        <w:t>were RMB8,964.4 million (US$1,279.5 million) as of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2025, compared to RMB5,934.2 million as of December 31, 2024.</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47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three months ended or as of</w:t>
            </w: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1"/>
        </w:trPr>
        <w:tc>
          <w:tcPr>
            <w:tcW w:w="4700" w:type="dxa"/>
            <w:vAlign w:val="bottom"/>
          </w:tcPr>
          <w:p>
            <w:pPr>
              <w:spacing w:after="0"/>
              <w:rPr>
                <w:sz w:val="17"/>
                <w:szCs w:val="17"/>
                <w:color w:val="auto"/>
              </w:rPr>
            </w:pPr>
          </w:p>
        </w:tc>
        <w:tc>
          <w:tcPr>
            <w:tcW w:w="96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 30,</w:t>
            </w:r>
          </w:p>
        </w:tc>
        <w:tc>
          <w:tcPr>
            <w:tcW w:w="980" w:type="dxa"/>
            <w:vAlign w:val="bottom"/>
            <w:gridSpan w:val="2"/>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Sep 30,</w:t>
            </w:r>
          </w:p>
        </w:tc>
        <w:tc>
          <w:tcPr>
            <w:tcW w:w="960" w:type="dxa"/>
            <w:vAlign w:val="bottom"/>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Dec 31,</w:t>
            </w:r>
          </w:p>
        </w:tc>
        <w:tc>
          <w:tcPr>
            <w:tcW w:w="92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Mar 31,</w:t>
            </w:r>
          </w:p>
        </w:tc>
        <w:tc>
          <w:tcPr>
            <w:tcW w:w="920" w:type="dxa"/>
            <w:vAlign w:val="bottom"/>
            <w:gridSpan w:val="2"/>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Jun 30,</w:t>
            </w:r>
          </w:p>
        </w:tc>
        <w:tc>
          <w:tcPr>
            <w:tcW w:w="96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Sep 30,</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 31,</w:t>
            </w:r>
          </w:p>
        </w:tc>
        <w:tc>
          <w:tcPr>
            <w:tcW w:w="180" w:type="dxa"/>
            <w:vAlign w:val="bottom"/>
          </w:tcPr>
          <w:p>
            <w:pPr>
              <w:spacing w:after="0"/>
              <w:rPr>
                <w:sz w:val="17"/>
                <w:szCs w:val="17"/>
                <w:color w:val="auto"/>
              </w:rPr>
            </w:pPr>
          </w:p>
        </w:tc>
      </w:tr>
      <w:tr>
        <w:trPr>
          <w:trHeight w:val="238"/>
        </w:trPr>
        <w:tc>
          <w:tcPr>
            <w:tcW w:w="47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20"/>
                <w:szCs w:val="20"/>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2"/>
              </w:rPr>
              <w:t>19,961</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21,343</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24,097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29,214</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31,048</w:t>
            </w:r>
          </w:p>
        </w:tc>
        <w:tc>
          <w:tcPr>
            <w:tcW w:w="1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Self-operated stores</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13,056</w:t>
            </w:r>
          </w:p>
        </w:tc>
        <w:tc>
          <w:tcPr>
            <w:tcW w:w="9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13,936</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14,591</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15,598</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16,968</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18,882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20,234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stores</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6,905</w:t>
            </w:r>
          </w:p>
        </w:tc>
        <w:tc>
          <w:tcPr>
            <w:tcW w:w="9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7,407</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7,749</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8,499</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9,238</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10,332</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10,814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Same-store sales growth for self-operated stores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(13.1)%</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monthly transacting customers (in thousands)</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69,689</w:t>
            </w:r>
          </w:p>
        </w:tc>
        <w:tc>
          <w:tcPr>
            <w:tcW w:w="9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79,846</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77,766</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74,272</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91,697</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112,295</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98,351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5" w:lineRule="exact"/>
        <w:rPr>
          <w:sz w:val="20"/>
          <w:szCs w:val="20"/>
          <w:color w:val="auto"/>
        </w:rPr>
      </w:pPr>
    </w:p>
    <w:p>
      <w:pPr>
        <w:ind w:left="380" w:right="20" w:hanging="318"/>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GMV </w:t>
      </w:r>
      <w:r>
        <w:rPr>
          <w:rFonts w:ascii="Times New Roman" w:cs="Times New Roman" w:eastAsia="Times New Roman" w:hAnsi="Times New Roman"/>
          <w:sz w:val="18"/>
          <w:szCs w:val="18"/>
          <w:color w:val="auto"/>
        </w:rPr>
        <w:t>(gross merchandise value) refers to the transaction amount from the sales of freshly brewed and non-freshly brewed items through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partnership stores.</w:t>
      </w:r>
    </w:p>
    <w:p>
      <w:pPr>
        <w:spacing w:after="0" w:line="18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include revenues from product sales and revenues from partnership stores.</w:t>
      </w:r>
    </w:p>
    <w:p>
      <w:pPr>
        <w:spacing w:after="0" w:line="225"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mainly include net revenue from the sales of freshly brewed and non-freshly brewed items through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e-commerce, offline sales and revenue from delivery for self-operated stores.</w:t>
      </w:r>
    </w:p>
    <w:p>
      <w:pPr>
        <w:spacing w:after="0" w:line="154"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fees derived from self-operated stores paid by the Company’s customers.</w:t>
      </w:r>
    </w:p>
    <w:p>
      <w:pPr>
        <w:spacing w:after="0" w:line="154"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include net revenue from the sales of materials, equipment, delivery services, profit sharing and royalty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franchise and other services from partnership stores.</w:t>
      </w:r>
    </w:p>
    <w:p>
      <w:pPr>
        <w:spacing w:after="0" w:line="154" w:lineRule="exact"/>
        <w:rPr>
          <w:rFonts w:ascii="Times New Roman" w:cs="Times New Roman" w:eastAsia="Times New Roman" w:hAnsi="Times New Roman"/>
          <w:sz w:val="18"/>
          <w:szCs w:val="18"/>
          <w:b w:val="1"/>
          <w:bCs w:val="1"/>
          <w:color w:val="auto"/>
        </w:rPr>
      </w:pPr>
    </w:p>
    <w:p>
      <w:pPr>
        <w:jc w:val="both"/>
        <w:ind w:left="380" w:hanging="318"/>
        <w:spacing w:after="0" w:line="26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Defined as the growth rate of total revenue from self-operated stores that (i) were in operation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beginning of the comparable period and were not closed before the end of the current period and (ii) maintained an average of at least 15 operating days per month over both the current and comparable periods.</w:t>
      </w:r>
    </w:p>
    <w:p>
      <w:pPr>
        <w:spacing w:after="0" w:line="170" w:lineRule="exact"/>
        <w:rPr>
          <w:rFonts w:ascii="Times New Roman" w:cs="Times New Roman" w:eastAsia="Times New Roman" w:hAnsi="Times New Roman"/>
          <w:sz w:val="18"/>
          <w:szCs w:val="18"/>
          <w:color w:val="auto"/>
        </w:rPr>
      </w:pPr>
    </w:p>
    <w:p>
      <w:pPr>
        <w:jc w:val="both"/>
        <w:ind w:left="380" w:hanging="318"/>
        <w:spacing w:after="0" w:line="26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profit – self-operated stores. </w:t>
      </w:r>
      <w:r>
        <w:rPr>
          <w:rFonts w:ascii="Times New Roman" w:cs="Times New Roman" w:eastAsia="Times New Roman" w:hAnsi="Times New Roman"/>
          <w:sz w:val="18"/>
          <w:szCs w:val="18"/>
          <w:color w:val="auto"/>
        </w:rPr>
        <w:t>Calculated by deducting cost for self-operated stores including cost of direct materials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the Company’s self-operated store revenues.</w:t>
      </w:r>
    </w:p>
    <w:p>
      <w:pPr>
        <w:spacing w:after="0" w:line="176"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margin – self-operated stores. </w:t>
      </w:r>
      <w:r>
        <w:rPr>
          <w:rFonts w:ascii="Times New Roman" w:cs="Times New Roman" w:eastAsia="Times New Roman" w:hAnsi="Times New Roman"/>
          <w:sz w:val="18"/>
          <w:szCs w:val="18"/>
          <w:color w:val="auto"/>
        </w:rPr>
        <w:t>Calculated by dividing store level operating profit by total revenues from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w:t>
      </w:r>
    </w:p>
    <w:p>
      <w:pPr>
        <w:spacing w:after="0" w:line="154" w:lineRule="exact"/>
        <w:rPr>
          <w:rFonts w:ascii="Times New Roman" w:cs="Times New Roman" w:eastAsia="Times New Roman" w:hAnsi="Times New Roman"/>
          <w:sz w:val="18"/>
          <w:szCs w:val="18"/>
          <w:color w:val="auto"/>
        </w:rPr>
      </w:pPr>
    </w:p>
    <w:p>
      <w:pPr>
        <w:ind w:left="420" w:hanging="318"/>
        <w:spacing w:after="0"/>
        <w:tabs>
          <w:tab w:leader="none" w:pos="42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The number of stores open at the end of the period.</w:t>
      </w:r>
    </w:p>
    <w:p>
      <w:pPr>
        <w:spacing w:after="0" w:line="225"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The number of gross new stores opened during the period minus the number of stores permanently closed during the period.</w:t>
      </w:r>
    </w:p>
    <w:p>
      <w:pPr>
        <w:spacing w:after="0" w:line="225" w:lineRule="exact"/>
        <w:rPr>
          <w:rFonts w:ascii="Times New Roman" w:cs="Times New Roman" w:eastAsia="Times New Roman" w:hAnsi="Times New Roman"/>
          <w:sz w:val="18"/>
          <w:szCs w:val="18"/>
          <w:color w:val="auto"/>
        </w:rPr>
      </w:pPr>
    </w:p>
    <w:p>
      <w:pPr>
        <w:ind w:left="380" w:hanging="318"/>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Average monthly transacting customers</w:t>
      </w:r>
      <w:r>
        <w:rPr>
          <w:rFonts w:ascii="Times New Roman" w:cs="Times New Roman" w:eastAsia="Times New Roman" w:hAnsi="Times New Roman"/>
          <w:sz w:val="18"/>
          <w:szCs w:val="18"/>
          <w:color w:val="auto"/>
        </w:rPr>
        <w:t>. The total of each month’s number of transacting customers divided by the number of months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(includes those of partnership stores and those only paid with free-coupons).</w:t>
      </w:r>
    </w:p>
    <w:p>
      <w:pPr>
        <w:spacing w:after="0" w:line="154" w:lineRule="exact"/>
        <w:rPr>
          <w:rFonts w:ascii="Times New Roman" w:cs="Times New Roman" w:eastAsia="Times New Roman" w:hAnsi="Times New Roman"/>
          <w:sz w:val="18"/>
          <w:szCs w:val="18"/>
          <w:color w:val="auto"/>
        </w:rPr>
      </w:pPr>
    </w:p>
    <w:p>
      <w:pPr>
        <w:ind w:left="400" w:hanging="325"/>
        <w:spacing w:after="0"/>
        <w:tabs>
          <w:tab w:leader="none" w:pos="4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Calculated by operating income excluding share-based compensation expenses.</w:t>
      </w:r>
    </w:p>
    <w:p>
      <w:pPr>
        <w:spacing w:after="0" w:line="225" w:lineRule="exact"/>
        <w:rPr>
          <w:rFonts w:ascii="Times New Roman" w:cs="Times New Roman" w:eastAsia="Times New Roman" w:hAnsi="Times New Roman"/>
          <w:sz w:val="18"/>
          <w:szCs w:val="18"/>
          <w:color w:val="auto"/>
        </w:rPr>
      </w:pPr>
    </w:p>
    <w:p>
      <w:pPr>
        <w:jc w:val="both"/>
        <w:ind w:left="380" w:hanging="318"/>
        <w:spacing w:after="0" w:line="26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Calculated by net income excluding recurring item of share-based compensation expenses, non-recurring item of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equity litigants settlement, and income tax effects of GAAP to non-GAAP reconciling items. From the fourth quarter of 2024, the Company added income tax effects of GAAP to non-GAAP reconciling items when reconciling adjustments from GAAP to Non-GAAP net income. Comparative figures were also adjusted accordingly.</w:t>
      </w:r>
    </w:p>
    <w:p>
      <w:pPr>
        <w:spacing w:after="0" w:line="176" w:lineRule="exact"/>
        <w:rPr>
          <w:rFonts w:ascii="Times New Roman" w:cs="Times New Roman" w:eastAsia="Times New Roman" w:hAnsi="Times New Roman"/>
          <w:sz w:val="18"/>
          <w:szCs w:val="18"/>
          <w:color w:val="auto"/>
        </w:rPr>
      </w:pPr>
    </w:p>
    <w:p>
      <w:pPr>
        <w:jc w:val="both"/>
        <w:ind w:left="380" w:hanging="318"/>
        <w:spacing w:after="0" w:line="259"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 attributable to the Company’s ordinary shareholders. </w:t>
      </w:r>
      <w:r>
        <w:rPr>
          <w:rFonts w:ascii="Times New Roman" w:cs="Times New Roman" w:eastAsia="Times New Roman" w:hAnsi="Times New Roman"/>
          <w:sz w:val="18"/>
          <w:szCs w:val="18"/>
          <w:color w:val="auto"/>
        </w:rPr>
        <w:t>Calculated by adjusting net income attributable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shareholders excluding recurring item of share-based compensation expenses, non-recurring item of provision for equity litigants settlement, and income tax effects of GAAP to non-GAAP reconciling items. From the fourth quarter of 2024, the Company added income tax effects of GAAP to non-GAAP reconciling items when reconciling adjustments from GAAP to Non-GAAP net income attributable to the Company’s ordinary shareholders. Comparative figures were also adjusted accordingly.</w:t>
      </w:r>
    </w:p>
    <w:p>
      <w:pPr>
        <w:spacing w:after="0" w:line="179" w:lineRule="exact"/>
        <w:rPr>
          <w:rFonts w:ascii="Times New Roman" w:cs="Times New Roman" w:eastAsia="Times New Roman" w:hAnsi="Times New Roman"/>
          <w:sz w:val="18"/>
          <w:szCs w:val="18"/>
          <w:color w:val="auto"/>
        </w:rPr>
      </w:pPr>
    </w:p>
    <w:p>
      <w:pPr>
        <w:ind w:left="380" w:right="20" w:hanging="318"/>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shares.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share.</w:t>
      </w:r>
    </w:p>
    <w:p>
      <w:pPr>
        <w:spacing w:after="0" w:line="154" w:lineRule="exact"/>
        <w:rPr>
          <w:rFonts w:ascii="Times New Roman" w:cs="Times New Roman" w:eastAsia="Times New Roman" w:hAnsi="Times New Roman"/>
          <w:sz w:val="18"/>
          <w:szCs w:val="18"/>
          <w:color w:val="auto"/>
        </w:rPr>
      </w:pPr>
    </w:p>
    <w:p>
      <w:pPr>
        <w:ind w:left="380" w:right="20" w:hanging="318"/>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ADSs.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ADS.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825"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operating income/(loss) and non-GAAP net income/(loss), each a non-GAAP financial measure, in reviewing and assessing the Company’s operating performance. The presentation of these non-GAAP financial measures is not intended to be considered in isolation or as a substitute for the financial information prepared and presented in accordance with U.S. GAAP. The Company presents these non-GAAP financial measures because they are used by the Company’s management to evaluate operating performance and formulate business plans. The Company believes that the non-GAAP financial measures help identify underlying trends in the Company’s business, provide further information about the Company’s results of operations and enhance the overall understanding of the Company’s past performance and future prospects.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The Company’s non-GAAP financial measures do not reflect all items of income and expense that affect the Company’s operations and do not represent the residual cash flow available for discretionary expenditures. Furthermore,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the Company’s performance. The Company encourages investors and others to review the Company’s financial information in its entirety and not rely on a single financial measure.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non-GAAP operating income/(loss) as operating income/(loss) excluding share-based compensation expenses, non-GAAP net income/(loss) as net income/(loss) excluding recurring item of share-based compensation expenses, non-recurring item of provision for equity litigants settlement, and income tax effects of GAAP to non-GAAP reconciling items, and non-GAAP net income/(loss) attributable to the Company’s ordinary shareholders as net income/(loss) attributable to the Company’s ordinary shareholders excluding recurring item of share-based compensation expenses, non-recurring item of provision for equity litigants settlement, and income tax effects of GAAP to non-GAAP reconciling items.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earnings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earnings release contains translations of certain RMB amounts into U.S. dollars (“US$”) at specified rates solely for the convenience of the reader. Unless otherwise noted, all translations from RMB to US$ were made at the rate of RMB7.0063 to US$1.00, the exchange rate on December 26, 2025 set forth in the H.10 statistical release of the Federal Reserve Board. The Company makes no representation that the RMB or US$ amounts referred could be converted into US$ or RMB, as the case may be, at any particular rate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today, on Thursday, February 26, 2026, at 8:00 am Eastern Time (or Thursday, February 26, 2026, at 9:00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access the call by dialing the following numbers: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USA/Canada Toll Free: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+1-888-317-6003</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+1-412-317-6061</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400-120-6115</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800-963-976</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5658008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March 5, 2026, by dialing the following numbers: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USA/Canada Toll Free:</w:t>
            </w:r>
          </w:p>
        </w:tc>
        <w:tc>
          <w:tcPr>
            <w:tcW w:w="23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+1-855-669-9658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3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+1-412-317-0088</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2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7510605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also be available at the Company's investor relations website at </w:t>
      </w:r>
      <w:r>
        <w:rPr>
          <w:rFonts w:ascii="Times New Roman" w:cs="Times New Roman" w:eastAsia="Times New Roman" w:hAnsi="Times New Roman"/>
          <w:sz w:val="18"/>
          <w:szCs w:val="18"/>
          <w:u w:val="single" w:color="auto"/>
          <w:color w:val="auto"/>
        </w:rPr>
        <w:t>investor.lkcoffee.com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earnings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 Accordingly, you should not place undue reliance upon these preliminary estimates. The preliminary unaudited financial information included in this press release has been prepared by, and is the responsibility of, the Company’s management. The Company’s auditor has not audited, reviewed, compiled or applied agreed-upon procedures with respect to such preliminary financial data. Accordingly, the Company’s auditor does not express an opinion or any other form of assurance with respect thereto. Upon completion of the year-end audit, the Company’s audited financial results may differ materially from its preliminary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Luckin Coffee Inc.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investor.lkcoffee.com.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pr@lkcoffee.com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4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9"/>
                <w:szCs w:val="19"/>
                <w:color w:val="auto"/>
              </w:rPr>
            </w:pPr>
          </w:p>
        </w:tc>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4,362,309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2,294,112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327,436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5,362</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 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1,127,541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3,328,423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475,061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368,097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156,330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22,313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438,458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580,557</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82,862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2,500,205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2,966,506</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423,406</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1,938,054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2,520,657</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359,770</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10,731,599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14,430,947</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2,059,710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5,065,903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6,289,986</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897,761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57,459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Term deposit - non-current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99,910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929,165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968,836</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138,281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271,601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217,036</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30,977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5,937,063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7,637,320</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1,090,065</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12,394,327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15,870,637</w:t>
            </w:r>
          </w:p>
        </w:tc>
        <w:tc>
          <w:tcPr>
            <w:tcW w:w="2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2,265,195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23,125,926</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30,301,584</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4,324,905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738,677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1,103,767</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157,539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3,034,205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4,148,323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592,085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156,290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149,887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21,393</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2,343,387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2,948,353</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420,815</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6,689,077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8,506,620</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borrowings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339,797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48,499</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3,330,529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4,315,808</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615,990</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3,364,129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4,655,605</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664,489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10,053,206</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13,162,225</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1,878,628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preferred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216,185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16,705,240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17,278,391</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2,466,122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368,046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453,625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64,745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(5,953,788)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(2,438,985)</w:t>
            </w: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(348,113)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438,536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331,642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47,335</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Company’s ordinary shareholders’ equity</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11,558,060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15,624,699</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2,230,092</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23,125,926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30,301,584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4,324,905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135"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4100" w:type="dxa"/>
            <w:vAlign w:val="bottom"/>
            <w:gridSpan w:val="7"/>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398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from product sales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7,567,491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9,930,121</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1,417,313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26,729,523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37,694,405</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5,380,073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partnership stores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2,045,786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2,846,712</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406,307</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7,745,291</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11,593,690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9,613,277</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12,776,833</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1,823,620</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34,474,814</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49,288,095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7,034,825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materials</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(3,834,449)</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(5,107,775)</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(729,026)</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(14,083,291)</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(18,783,453)</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(2,680,938)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(2,372,304)</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(3,150,644)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(449,687)</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(8,540,683)</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(11,241,945)</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(1,604,548)</w:t>
            </w: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(331,822)</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(434,309)</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(61,988)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(1,190,037)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(1,557,383)</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(222,283)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Delivery expenses</w:t>
            </w: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(838,663)</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(1,630,855)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(232,770)</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(2,821,069)</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(6,878,734)</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(981,793)</w:t>
            </w: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(572,893)</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(755,552)</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(107,839)</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(1,920,305)</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(2,595,705)</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(370,482)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(637,570)</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(846,198)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(120,777)</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(2,420,462)</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(3,057,020)</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(436,324)</w:t>
            </w: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(13,580)</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(25,656)</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(3,662)</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(69,556)</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(85,412)</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(12,191)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(2,986)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(426)</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(8,925)</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198"/>
        </w:trPr>
        <w:tc>
          <w:tcPr>
            <w:tcW w:w="3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Losses and expenses related to Fabricated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and Restructuring</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149,583</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(8,605,519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(11,955,392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(1,706,377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(30,904,745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(44,215,160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(6,310,772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1,007,758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821,441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117,243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3,570,069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5,072,935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724,053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34,457</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55,304</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7,893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89,195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188,630</w:t>
            </w: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26,923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(1,917)</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(3,924)</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loss, net</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(52,121)</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(13,950)</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(1,991)</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(13,239)</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(26,747)</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10,205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20,984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2,995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84,161</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80,808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equity litigants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(35,326)</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(5,042)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(35,326)</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998,382</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848,453</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121,098</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3,726,262</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5,280,175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753,632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(147,691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(330,263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(770,553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(1,679,793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(239,755</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850,691</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518,190</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73,960</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2,955,709</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3,600,382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513,877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Net income attributable to the</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1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Company’s ordinary shareholders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850,691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518,190</w:t>
            </w:r>
          </w:p>
        </w:tc>
        <w:tc>
          <w:tcPr>
            <w:tcW w:w="80" w:type="dxa"/>
            <w:vAlign w:val="bottom"/>
          </w:tcPr>
          <w:p>
            <w:pPr>
              <w:spacing w:after="0"/>
              <w:rPr>
                <w:sz w:val="24"/>
                <w:szCs w:val="24"/>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73,960</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2,955,709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3,600,382</w:t>
            </w:r>
          </w:p>
        </w:tc>
        <w:tc>
          <w:tcPr>
            <w:tcW w:w="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513,877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0.33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0.33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9.28</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0.24</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9.28</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4"/>
        </w:trPr>
        <w:tc>
          <w:tcPr>
            <w:tcW w:w="316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used in calculating basic and diluted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2,547,212,673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2,566,563,641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2,566,563,641</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2,545,968,813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2,565,138,656</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2,565,138,656</w:t>
            </w: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2,549,183,737</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2,567,418,849</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2,567,418,849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2,548,002,050</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2,568,173,041</w:t>
            </w: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2,568,173,041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850,691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518,190</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73,960</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2,955,709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3,600,382</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513,877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6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of tax of nil:</w:t>
            </w: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Foreign currency translation difference,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tax of nil</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103,435</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(52,155)</w:t>
            </w:r>
          </w:p>
        </w:tc>
        <w:tc>
          <w:tcPr>
            <w:tcW w:w="80" w:type="dxa"/>
            <w:vAlign w:val="bottom"/>
          </w:tcPr>
          <w:p>
            <w:pPr>
              <w:spacing w:after="0"/>
              <w:rPr>
                <w:sz w:val="20"/>
                <w:szCs w:val="20"/>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(7,444)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41,592</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(106,894)</w:t>
            </w:r>
          </w:p>
        </w:tc>
        <w:tc>
          <w:tcPr>
            <w:tcW w:w="1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(15,257)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954,126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466,035</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66,516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2,997,301</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3,493,488</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498,620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6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attributable to ordinary shareholders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954,126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466,035</w:t>
            </w:r>
          </w:p>
        </w:tc>
        <w:tc>
          <w:tcPr>
            <w:tcW w:w="80" w:type="dxa"/>
            <w:vAlign w:val="bottom"/>
          </w:tcPr>
          <w:p>
            <w:pPr>
              <w:spacing w:after="0"/>
              <w:rPr>
                <w:sz w:val="23"/>
                <w:szCs w:val="23"/>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66,516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2,997,301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3,493,488</w:t>
            </w:r>
          </w:p>
        </w:tc>
        <w:tc>
          <w:tcPr>
            <w:tcW w:w="1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498,620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7"/>
        <w:spacing w:after="0" w:line="282" w:lineRule="auto"/>
        <w:tabs>
          <w:tab w:leader="none" w:pos="1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CHANGES IN INVENTORY ACCOUNTING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from July 1, 2025, the Company elected to change its method of accounting for certain of its inventories, primarily coffee beans produced in its roasting factories, from the weighted average method to the specific identification method, specifically, the by-batch method. The Company believes the by-batch method of accounting for coffee bean inventory in its roasting factories is preferable because this method: (i) better aligns the accounting records with the physical flow of inventories; (ii) better reflects the current cost of assets; and (iii) better represents how the management assesses the performances of different business units and better supports them to make strategic decisions. The effects of the change in accounting method have been retrospectively applied to all periods presented in all sections of this press release on Form 6-K.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 line items within the accompanying unaudited interim 2024 and 2025 quarterly condensed consolidated financial statements were adjusted as follows, with all amounts presented in thousands of RMB, except for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440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2025</w:t>
            </w:r>
          </w:p>
        </w:tc>
        <w:tc>
          <w:tcPr>
            <w:tcW w:w="42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 2024</w:t>
            </w:r>
          </w:p>
        </w:tc>
      </w:tr>
      <w:tr>
        <w:trPr>
          <w:trHeight w:val="187"/>
        </w:trPr>
        <w:tc>
          <w:tcPr>
            <w:tcW w:w="26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Calculated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Effect of</w:t>
            </w:r>
          </w:p>
        </w:tc>
      </w:tr>
      <w:tr>
        <w:trPr>
          <w:trHeight w:val="238"/>
        </w:trPr>
        <w:tc>
          <w:tcPr>
            <w:tcW w:w="26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8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26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Borders>
              <w:bottom w:val="single" w:sz="8" w:color="CCEEFF"/>
            </w:tcBorders>
          </w:tcPr>
          <w:p>
            <w:pPr>
              <w:spacing w:after="0"/>
              <w:rPr>
                <w:sz w:val="18"/>
                <w:szCs w:val="18"/>
                <w:color w:val="auto"/>
              </w:rPr>
            </w:pPr>
          </w:p>
        </w:tc>
      </w:tr>
      <w:tr>
        <w:trPr>
          <w:trHeight w:val="20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(5,075,735)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(3,847,193)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(3,834,449)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(11,923,352)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(11,955,392)</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(32,040)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(8,618,263)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(8,605,519)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12,744</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853,481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821,441</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(32,040)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995,014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1,007,758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12,744</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880,493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848,453</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(32,040)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985,638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998,382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12,744</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(338,273)</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(330,263)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(144,505)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(147,691)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(3,186)</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542,220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518,190</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(24,030)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841,133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850,691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9,558</w:t>
            </w:r>
          </w:p>
        </w:tc>
      </w:tr>
      <w:tr>
        <w:trPr>
          <w:trHeight w:val="194"/>
        </w:trPr>
        <w:tc>
          <w:tcPr>
            <w:tcW w:w="2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the</w:t>
            </w: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Company’s ordinary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542,220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518,190</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(24,030)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841,133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850,691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9,558</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542,220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518,190</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(24,030)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841,133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850,691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9,558</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490,065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466,035</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(24,030)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944,568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954,126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9,558</w:t>
            </w:r>
          </w:p>
        </w:tc>
      </w:tr>
      <w:tr>
        <w:trPr>
          <w:trHeight w:val="194"/>
        </w:trPr>
        <w:tc>
          <w:tcPr>
            <w:tcW w:w="2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 the Company’s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490,065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466,035</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(24,030)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944,568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954,126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9,558</w:t>
            </w:r>
          </w:p>
        </w:tc>
      </w:tr>
      <w:tr>
        <w:trPr>
          <w:trHeight w:val="445"/>
        </w:trPr>
        <w:tc>
          <w:tcPr>
            <w:tcW w:w="2620" w:type="dxa"/>
            <w:vAlign w:val="bottom"/>
          </w:tcPr>
          <w:p>
            <w:pPr>
              <w:spacing w:after="0"/>
              <w:rPr>
                <w:sz w:val="24"/>
                <w:szCs w:val="24"/>
                <w:color w:val="auto"/>
              </w:rPr>
            </w:pPr>
          </w:p>
        </w:tc>
        <w:tc>
          <w:tcPr>
            <w:tcW w:w="440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42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2024</w:t>
            </w:r>
          </w:p>
        </w:tc>
      </w:tr>
      <w:tr>
        <w:trPr>
          <w:trHeight w:val="187"/>
        </w:trPr>
        <w:tc>
          <w:tcPr>
            <w:tcW w:w="26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Calculated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Effect of</w:t>
            </w:r>
          </w:p>
        </w:tc>
      </w:tr>
      <w:tr>
        <w:trPr>
          <w:trHeight w:val="238"/>
        </w:trPr>
        <w:tc>
          <w:tcPr>
            <w:tcW w:w="26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8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26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Borders>
              <w:bottom w:val="single" w:sz="8" w:color="CCEEFF"/>
            </w:tcBorders>
          </w:tcPr>
          <w:p>
            <w:pPr>
              <w:spacing w:after="0"/>
              <w:rPr>
                <w:sz w:val="18"/>
                <w:szCs w:val="18"/>
                <w:color w:val="auto"/>
              </w:rPr>
            </w:pP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(18,777,806)</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(18,783,453)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(14,115,299)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(14,083,291)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32,008</w:t>
            </w: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(44,209,513)</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(44,215,160)</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(5,647)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(30,936,753)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(30,904,745)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32,008</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5,078,582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5,072,935</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(5,647)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3,538,061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3,570,069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32,008</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5,285,822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5,280,175</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3,694,254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3,726,262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32,008</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(1,681,205)</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(1,679,793)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(762,551)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(770,553)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(8,002)</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3,604,617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3,600,382</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2,931,703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2,955,709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24,006</w:t>
            </w:r>
          </w:p>
        </w:tc>
      </w:tr>
      <w:tr>
        <w:trPr>
          <w:trHeight w:val="194"/>
        </w:trPr>
        <w:tc>
          <w:tcPr>
            <w:tcW w:w="2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the</w:t>
            </w: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Company’s ordinary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3,604,617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3,600,382</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2,931,703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2,955,709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24,006</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11.20</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26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540" w:type="dxa"/>
            <w:vAlign w:val="bottom"/>
            <w:gridSpan w:val="3"/>
          </w:tcPr>
          <w:p>
            <w:pPr>
              <w:spacing w:after="0"/>
              <w:rPr>
                <w:sz w:val="18"/>
                <w:szCs w:val="18"/>
                <w:color w:val="auto"/>
              </w:rPr>
            </w:pPr>
          </w:p>
        </w:tc>
        <w:tc>
          <w:tcPr>
            <w:tcW w:w="144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3,604,617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3,600,382</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2,931,703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2,955,709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24,006</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3,497,723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3,493,488</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2,973,295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2,997,301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24,006</w:t>
            </w:r>
          </w:p>
        </w:tc>
      </w:tr>
      <w:tr>
        <w:trPr>
          <w:trHeight w:val="194"/>
        </w:trPr>
        <w:tc>
          <w:tcPr>
            <w:tcW w:w="2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 the Company’s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3,497,723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3,493,488</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2,973,295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2,997,301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24,006</w:t>
            </w:r>
          </w:p>
        </w:tc>
      </w:tr>
      <w:tr>
        <w:trPr>
          <w:trHeight w:val="648"/>
        </w:trPr>
        <w:tc>
          <w:tcPr>
            <w:tcW w:w="2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tcBorders>
              <w:bottom w:val="single" w:sz="8" w:color="auto"/>
            </w:tcBorders>
            <w:gridSpan w:val="5"/>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Calculated</w:t>
            </w: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Effect of</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Effect of</w:t>
            </w:r>
          </w:p>
        </w:tc>
      </w:tr>
      <w:tr>
        <w:trPr>
          <w:trHeight w:val="238"/>
        </w:trPr>
        <w:tc>
          <w:tcPr>
            <w:tcW w:w="26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6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26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Borders>
              <w:bottom w:val="single" w:sz="8" w:color="CCEEFF"/>
            </w:tcBorders>
          </w:tcPr>
          <w:p>
            <w:pPr>
              <w:spacing w:after="0"/>
              <w:rPr>
                <w:sz w:val="18"/>
                <w:szCs w:val="18"/>
                <w:color w:val="auto"/>
              </w:rPr>
            </w:pPr>
          </w:p>
        </w:tc>
      </w:tr>
      <w:tr>
        <w:trPr>
          <w:trHeight w:val="20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2,945,339</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2,966,506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2,473,393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14,409,780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14,430,947</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21,167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10,704,787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10,731,599</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26,812</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30,280,417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30,301,584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21,167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23,099,114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23,125,926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26,812</w:t>
            </w: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4,143,031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4,148,323</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3,027,503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3,034,205</w:t>
            </w: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6,702</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8,501,328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8,506,620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6,682,375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6,689,077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6,702</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13,156,933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13,162,225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5,292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10,046,504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10,053,206</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6,702</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451,506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453,625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365,927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368,046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(2,452,741)</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(2,438,985)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13,756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(5,971,779)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(5,953,788)</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17,991</w:t>
            </w:r>
          </w:p>
        </w:tc>
      </w:tr>
      <w:tr>
        <w:trPr>
          <w:trHeight w:val="194"/>
        </w:trPr>
        <w:tc>
          <w:tcPr>
            <w:tcW w:w="2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Company’s ordinary</w:t>
            </w: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15,608,824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15,624,699</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11,537,950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11,558,060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20,110</w:t>
            </w:r>
          </w:p>
        </w:tc>
      </w:tr>
      <w:tr>
        <w:trPr>
          <w:trHeight w:val="194"/>
        </w:trPr>
        <w:tc>
          <w:tcPr>
            <w:tcW w:w="2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 AND</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30,280,417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30,301,584</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21,167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23,099,114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23,125,926</w:t>
            </w: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26,812</w:t>
            </w:r>
          </w:p>
        </w:tc>
      </w:tr>
      <w:tr>
        <w:trPr>
          <w:trHeight w:val="648"/>
        </w:trPr>
        <w:tc>
          <w:tcPr>
            <w:tcW w:w="2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02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6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200" w:type="dxa"/>
            <w:vAlign w:val="bottom"/>
          </w:tcPr>
          <w:p>
            <w:pPr>
              <w:spacing w:after="0"/>
              <w:rPr>
                <w:sz w:val="19"/>
                <w:szCs w:val="19"/>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1,628,375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564,782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80,611</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4,229,272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6,091,062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869,371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(1,112,363)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(447,084)</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(63,812)</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(3,209,806)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(7,786,503)</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(1,111,358)</w:t>
            </w: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by/(used in) financing</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333,600</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(333,600)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(47,615)</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exchange rate changes 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(7,016)</w:t>
            </w:r>
          </w:p>
        </w:tc>
        <w:tc>
          <w:tcPr>
            <w:tcW w:w="3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14,976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(20,711)</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(2,956)</w:t>
            </w:r>
          </w:p>
        </w:tc>
      </w:tr>
      <w:tr>
        <w:trPr>
          <w:trHeight w:val="178"/>
        </w:trPr>
        <w:tc>
          <w:tcPr>
            <w:tcW w:w="32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increase/(decrease) in cash and cash</w:t>
            </w: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558,893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110,682</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15,798</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1,368,042</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(2,049,752)</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(292,558)</w:t>
            </w:r>
          </w:p>
        </w:tc>
      </w:tr>
      <w:tr>
        <w:trPr>
          <w:trHeight w:val="194"/>
        </w:trPr>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and</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cash at beginning of period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3,847,792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2,246,251</w:t>
            </w:r>
          </w:p>
        </w:tc>
        <w:tc>
          <w:tcPr>
            <w:tcW w:w="3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320,604</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3,038,643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4,406,685</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628,960</w:t>
            </w:r>
          </w:p>
        </w:tc>
      </w:tr>
      <w:tr>
        <w:trPr>
          <w:trHeight w:val="174"/>
        </w:trPr>
        <w:tc>
          <w:tcPr>
            <w:tcW w:w="32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and cash equivalents and</w:t>
            </w: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6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cash at end of period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4,406,685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2,356,933</w:t>
            </w:r>
          </w:p>
        </w:tc>
        <w:tc>
          <w:tcPr>
            <w:tcW w:w="3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336,402</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4,406,685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2,356,933</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336,402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628"/>
        </w:trPr>
        <w:tc>
          <w:tcPr>
            <w:tcW w:w="3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of RMB and US$,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306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14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14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r>
      <w:tr>
        <w:trPr>
          <w:trHeight w:val="210"/>
        </w:trPr>
        <w:tc>
          <w:tcPr>
            <w:tcW w:w="3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   Non-GAAP operating income</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1,007,758</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821,441</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117,243</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3,570,069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5,072,935</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724,053</w:t>
            </w:r>
          </w:p>
        </w:tc>
      </w:tr>
      <w:tr>
        <w:trPr>
          <w:trHeight w:val="216"/>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for: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96,658</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142,388</w:t>
            </w:r>
          </w:p>
        </w:tc>
        <w:tc>
          <w:tcPr>
            <w:tcW w:w="3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20,323</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364,846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573,148</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81,805</w:t>
            </w:r>
          </w:p>
        </w:tc>
      </w:tr>
      <w:tr>
        <w:trPr>
          <w:trHeight w:val="210"/>
        </w:trPr>
        <w:tc>
          <w:tcPr>
            <w:tcW w:w="3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1,104,416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963,829</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137,566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3,934,915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5,646,083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805,858</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   Non-GAAP net income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850,691</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518,190</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73,960</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2,955,709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3,600,382</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513,877</w:t>
            </w:r>
          </w:p>
        </w:tc>
      </w:tr>
      <w:tr>
        <w:trPr>
          <w:trHeight w:val="216"/>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for: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96,658</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142,388</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20,323</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364,846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573,148</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81,805</w:t>
            </w:r>
          </w:p>
        </w:tc>
      </w:tr>
      <w:tr>
        <w:trPr>
          <w:trHeight w:val="216"/>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equity litigants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35,326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5,042</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5,042</w:t>
            </w:r>
          </w:p>
        </w:tc>
      </w:tr>
      <w:tr>
        <w:trPr>
          <w:trHeight w:val="198"/>
        </w:trPr>
        <w:tc>
          <w:tcPr>
            <w:tcW w:w="31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Income tax effects of GAAP to non-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GAAP reconciling items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(9,842)</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2,663</w:t>
            </w:r>
          </w:p>
        </w:tc>
        <w:tc>
          <w:tcPr>
            <w:tcW w:w="3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(9,842)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(12,562)</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(1,793)</w:t>
            </w:r>
          </w:p>
        </w:tc>
      </w:tr>
      <w:tr>
        <w:trPr>
          <w:trHeight w:val="209"/>
        </w:trPr>
        <w:tc>
          <w:tcPr>
            <w:tcW w:w="3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937,507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698,567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99,705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3,310,713</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4,196,294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598,931</w:t>
            </w:r>
          </w:p>
        </w:tc>
        <w:tc>
          <w:tcPr>
            <w:tcW w:w="120" w:type="dxa"/>
            <w:vAlign w:val="bottom"/>
            <w:tcBorders>
              <w:top w:val="single" w:sz="8" w:color="CCEEFF"/>
            </w:tcBorders>
            <w:shd w:val="clear" w:color="auto" w:fill="CCEEFF"/>
          </w:tcPr>
          <w:p>
            <w:pPr>
              <w:spacing w:after="0"/>
              <w:rPr>
                <w:sz w:val="18"/>
                <w:szCs w:val="18"/>
                <w:color w:val="auto"/>
              </w:rPr>
            </w:pPr>
          </w:p>
        </w:tc>
      </w:tr>
      <w:tr>
        <w:trPr>
          <w:trHeight w:val="174"/>
        </w:trPr>
        <w:tc>
          <w:tcPr>
            <w:tcW w:w="314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 attributable to</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52"/>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the Company’s ordinary shareholders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937,507</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698,567</w:t>
            </w:r>
          </w:p>
        </w:tc>
        <w:tc>
          <w:tcPr>
            <w:tcW w:w="3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99,705</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3,310,713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4,196,294</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598,931</w:t>
            </w:r>
          </w:p>
        </w:tc>
      </w:tr>
      <w:tr>
        <w:trPr>
          <w:trHeight w:val="209"/>
        </w:trPr>
        <w:tc>
          <w:tcPr>
            <w:tcW w:w="3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bl>
    <w:p>
      <w:pPr>
        <w:ind w:left="40" w:right="8280" w:hanging="7"/>
        <w:spacing w:after="0" w:line="250" w:lineRule="auto"/>
        <w:tabs>
          <w:tab w:leader="none" w:pos="4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Non-GAAP net income per share Weighted average shares outstanding used in calculating basic and diluted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2,547,212,673</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2,566,563,641</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2,566,563,641</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2,545,968,813</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2,565,138,656</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2,565,138,656</w:t>
            </w:r>
          </w:p>
        </w:tc>
      </w:tr>
      <w:tr>
        <w:trPr>
          <w:trHeight w:val="216"/>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2,549,183,737</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2,567,418,849</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2,567,418,849</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2,548,002,050</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2,568,173,041</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2,568,173,041</w:t>
            </w:r>
          </w:p>
        </w:tc>
      </w:tr>
      <w:tr>
        <w:trPr>
          <w:trHeight w:val="216"/>
        </w:trPr>
        <w:tc>
          <w:tcPr>
            <w:tcW w:w="2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 per share:</w:t>
            </w:r>
          </w:p>
        </w:tc>
        <w:tc>
          <w:tcPr>
            <w:tcW w:w="1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0.37</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0.27</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0.04</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1.64</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0.37</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0.27</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0.04</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2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 per ADS:</w:t>
            </w:r>
          </w:p>
        </w:tc>
        <w:tc>
          <w:tcPr>
            <w:tcW w:w="1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2.96</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10.40</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13.12</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2.96</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10.40</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13.04</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r>
    </w:tbl>
    <w:p>
      <w:pPr>
        <w:spacing w:after="0" w:line="198" w:lineRule="exact"/>
        <w:rPr>
          <w:sz w:val="20"/>
          <w:szCs w:val="20"/>
          <w:color w:val="auto"/>
        </w:rPr>
      </w:pPr>
    </w:p>
    <w:p>
      <w:pPr>
        <w:ind w:firstLine="10"/>
        <w:spacing w:after="0" w:line="282" w:lineRule="auto"/>
        <w:tabs>
          <w:tab w:leader="none" w:pos="1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upperLetter"/>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2026-02-26T06:12:06Z</dcterms:created>
  <dcterms:modified xsi:type="dcterms:W3CDTF">2026-02-26T06:12:06Z</dcterms:modified>
</cp:coreProperties>
</file>