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351155</wp:posOffset>
            </wp:positionV>
            <wp:extent cx="64954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541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495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71755</wp:posOffset>
            </wp:positionV>
            <wp:extent cx="163195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950" cy="16510"/>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820" w:hanging="47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1" w:lineRule="exact"/>
        <w:rPr>
          <w:sz w:val="24"/>
          <w:szCs w:val="24"/>
          <w:color w:val="auto"/>
        </w:rPr>
      </w:pPr>
    </w:p>
    <w:p>
      <w:pPr>
        <w:ind w:left="820" w:right="1660" w:hanging="479"/>
        <w:spacing w:after="0" w:line="292" w:lineRule="auto"/>
        <w:tabs>
          <w:tab w:leader="none" w:pos="8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4" w:lineRule="exact"/>
        <w:rPr>
          <w:sz w:val="24"/>
          <w:szCs w:val="24"/>
          <w:color w:val="auto"/>
        </w:rPr>
      </w:pPr>
    </w:p>
    <w:p>
      <w:pPr>
        <w:ind w:left="820" w:hanging="47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1" w:lineRule="exact"/>
        <w:rPr>
          <w:sz w:val="24"/>
          <w:szCs w:val="24"/>
          <w:color w:val="auto"/>
        </w:rPr>
      </w:pPr>
    </w:p>
    <w:p>
      <w:pPr>
        <w:ind w:left="820" w:hanging="479"/>
        <w:spacing w:after="0"/>
        <w:tabs>
          <w:tab w:leader="none" w:pos="8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0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Date of event requiring this shell company report</w:t>
      </w:r>
    </w:p>
    <w:p>
      <w:pPr>
        <w:spacing w:after="0" w:line="91" w:lineRule="exact"/>
        <w:rPr>
          <w:sz w:val="24"/>
          <w:szCs w:val="24"/>
          <w:color w:val="auto"/>
        </w:rPr>
      </w:pPr>
    </w:p>
    <w:p>
      <w:pPr>
        <w:ind w:left="320"/>
        <w:spacing w:after="0"/>
        <w:tabs>
          <w:tab w:leader="none" w:pos="238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1272540</wp:posOffset>
            </wp:positionH>
            <wp:positionV relativeFrom="paragraph">
              <wp:posOffset>-3175</wp:posOffset>
            </wp:positionV>
            <wp:extent cx="584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35" cy="8255"/>
                    </a:xfrm>
                    <a:prstGeom prst="rect">
                      <a:avLst/>
                    </a:prstGeom>
                    <a:noFill/>
                  </pic:spPr>
                </pic:pic>
              </a:graphicData>
            </a:graphic>
          </wp:anchor>
        </w:drawing>
      </w:r>
    </w:p>
    <w:p>
      <w:pPr>
        <w:spacing w:after="0" w:line="7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Commission file number: 001-38896</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49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6495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86"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495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9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28th Floor, Building T3, Haixi Jingu Plaza</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1-3 Taibei Road</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Siming District, Xiamen City, Fujian</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495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Ms. Jing An, Chief Financial Officer</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Tel: +86-592-3386666</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Email: ir@lkcoffee.com</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28th Floor, Building T3, Haixi Jingu Plaza</w:t>
      </w:r>
    </w:p>
    <w:p>
      <w:pPr>
        <w:jc w:val="center"/>
        <w:ind w:right="-19"/>
        <w:spacing w:after="0" w:line="218" w:lineRule="auto"/>
        <w:rPr>
          <w:sz w:val="20"/>
          <w:szCs w:val="20"/>
          <w:color w:val="auto"/>
        </w:rPr>
      </w:pPr>
      <w:r>
        <w:rPr>
          <w:rFonts w:ascii="Times New Roman" w:cs="Times New Roman" w:eastAsia="Times New Roman" w:hAnsi="Times New Roman"/>
          <w:sz w:val="14"/>
          <w:szCs w:val="14"/>
          <w:b w:val="1"/>
          <w:bCs w:val="1"/>
          <w:color w:val="auto"/>
        </w:rPr>
        <w:t>1-3 Taibei Road</w:t>
      </w:r>
    </w:p>
    <w:p>
      <w:pPr>
        <w:ind w:left="4020"/>
        <w:spacing w:after="0" w:line="217" w:lineRule="auto"/>
        <w:rPr>
          <w:sz w:val="20"/>
          <w:szCs w:val="20"/>
          <w:color w:val="auto"/>
        </w:rPr>
      </w:pPr>
      <w:r>
        <w:rPr>
          <w:rFonts w:ascii="Times New Roman" w:cs="Times New Roman" w:eastAsia="Times New Roman" w:hAnsi="Times New Roman"/>
          <w:sz w:val="14"/>
          <w:szCs w:val="14"/>
          <w:b w:val="1"/>
          <w:bCs w:val="1"/>
          <w:color w:val="auto"/>
        </w:rPr>
        <w:t>Siming District, Xiamen City, Fujian</w:t>
      </w:r>
    </w:p>
    <w:p>
      <w:pPr>
        <w:ind w:left="4060"/>
        <w:spacing w:after="0" w:line="237" w:lineRule="auto"/>
        <w:rPr>
          <w:sz w:val="20"/>
          <w:szCs w:val="20"/>
          <w:color w:val="auto"/>
        </w:rPr>
      </w:pPr>
      <w:r>
        <w:rPr>
          <w:rFonts w:ascii="Times New Roman" w:cs="Times New Roman" w:eastAsia="Times New Roman" w:hAnsi="Times New Roman"/>
          <w:sz w:val="14"/>
          <w:szCs w:val="14"/>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495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ind w:left="2440"/>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0" w:type="dxa"/>
            <w:vAlign w:val="bottom"/>
          </w:tcPr>
          <w:p>
            <w:pPr>
              <w:spacing w:after="0"/>
              <w:rPr>
                <w:sz w:val="1"/>
                <w:szCs w:val="1"/>
                <w:color w:val="auto"/>
              </w:rPr>
            </w:pPr>
          </w:p>
        </w:tc>
      </w:tr>
      <w:tr>
        <w:trPr>
          <w:trHeight w:val="24"/>
        </w:trPr>
        <w:tc>
          <w:tcPr>
            <w:tcW w:w="48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82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American depositary shares, each ADS represents eight Class A Ordinary</w:t>
            </w:r>
          </w:p>
        </w:tc>
        <w:tc>
          <w:tcPr>
            <w:tcW w:w="300" w:type="dxa"/>
            <w:vAlign w:val="bottom"/>
            <w:vMerge w:val="continue"/>
          </w:tcPr>
          <w:p>
            <w:pPr>
              <w:spacing w:after="0"/>
              <w:rPr>
                <w:sz w:val="9"/>
                <w:szCs w:val="9"/>
                <w:color w:val="auto"/>
              </w:rPr>
            </w:pPr>
          </w:p>
        </w:tc>
        <w:tc>
          <w:tcPr>
            <w:tcW w:w="482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LKNCY</w:t>
            </w:r>
          </w:p>
        </w:tc>
        <w:tc>
          <w:tcPr>
            <w:tcW w:w="0" w:type="dxa"/>
            <w:vAlign w:val="bottom"/>
          </w:tcPr>
          <w:p>
            <w:pPr>
              <w:spacing w:after="0"/>
              <w:rPr>
                <w:sz w:val="1"/>
                <w:szCs w:val="1"/>
                <w:color w:val="auto"/>
              </w:rPr>
            </w:pPr>
          </w:p>
        </w:tc>
      </w:tr>
      <w:tr>
        <w:trPr>
          <w:trHeight w:val="185"/>
        </w:trPr>
        <w:tc>
          <w:tcPr>
            <w:tcW w:w="5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par value US$0.000002 per share</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 Ordinary Shares, par value US$0.000002 per share*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Not for trading, but only in connection with the quoting of the American depositary shares on the OTC market.</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1" w:lineRule="exact"/>
        <w:rPr>
          <w:sz w:val="24"/>
          <w:szCs w:val="24"/>
          <w:color w:val="auto"/>
        </w:rPr>
      </w:pPr>
    </w:p>
    <w:p>
      <w:pPr>
        <w:ind w:right="480"/>
        <w:spacing w:after="0" w:line="251" w:lineRule="auto"/>
        <w:rPr>
          <w:sz w:val="20"/>
          <w:szCs w:val="20"/>
          <w:color w:val="auto"/>
        </w:rPr>
      </w:pPr>
      <w:r>
        <w:rPr>
          <w:rFonts w:ascii="Times New Roman" w:cs="Times New Roman" w:eastAsia="Times New Roman" w:hAnsi="Times New Roman"/>
          <w:sz w:val="14"/>
          <w:szCs w:val="14"/>
          <w:color w:val="auto"/>
        </w:rPr>
        <w:t>2,093,280,340 Class A Ordinary Shares, par value US$0.000002 per share, 144,778,552 Class B Ordinary Shares, par value US$0.000002 per share, and 307,692,307 senior convertible preferred shares, par value US$0.000002 per share, as of December 31, 2023.</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13" w:lineRule="exact"/>
        <w:rPr>
          <w:sz w:val="24"/>
          <w:szCs w:val="24"/>
          <w:color w:val="auto"/>
        </w:rPr>
      </w:pPr>
    </w:p>
    <w:p>
      <w:pPr>
        <w:ind w:left="9300"/>
        <w:spacing w:after="0" w:line="161" w:lineRule="exact"/>
        <w:tabs>
          <w:tab w:leader="none" w:pos="9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2" w:lineRule="exact"/>
        <w:rPr>
          <w:sz w:val="24"/>
          <w:szCs w:val="24"/>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83" w:lineRule="exact"/>
        <w:rPr>
          <w:sz w:val="24"/>
          <w:szCs w:val="24"/>
          <w:color w:val="auto"/>
        </w:rPr>
      </w:pPr>
    </w:p>
    <w:p>
      <w:pPr>
        <w:jc w:val="right"/>
        <w:spacing w:after="0" w:line="161" w:lineRule="exact"/>
        <w:tabs>
          <w:tab w:leader="none" w:pos="3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832485</wp:posOffset>
            </wp:positionV>
            <wp:extent cx="6495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5415" cy="25400"/>
                    </a:xfrm>
                    <a:prstGeom prst="rect">
                      <a:avLst/>
                    </a:prstGeom>
                    <a:noFill/>
                  </pic:spPr>
                </pic:pic>
              </a:graphicData>
            </a:graphic>
          </wp:anchor>
        </w:drawing>
      </w:r>
    </w:p>
    <w:p>
      <w:pPr>
        <w:sectPr>
          <w:pgSz w:w="11900" w:h="16838" w:orient="portrait"/>
          <w:cols w:equalWidth="0" w:num="1">
            <w:col w:w="10240"/>
          </w:cols>
          <w:pgMar w:left="820" w:top="65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48"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0" w:lineRule="exact"/>
        <w:rPr>
          <w:sz w:val="20"/>
          <w:szCs w:val="20"/>
          <w:color w:val="auto"/>
        </w:rPr>
      </w:pPr>
    </w:p>
    <w:p>
      <w:pPr>
        <w:ind w:left="9300"/>
        <w:spacing w:after="0" w:line="161" w:lineRule="exact"/>
        <w:tabs>
          <w:tab w:leader="none" w:pos="9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0" w:lineRule="exact"/>
        <w:rPr>
          <w:sz w:val="20"/>
          <w:szCs w:val="20"/>
          <w:color w:val="auto"/>
        </w:rPr>
      </w:pPr>
    </w:p>
    <w:p>
      <w:pPr>
        <w:ind w:left="9300"/>
        <w:spacing w:after="0" w:line="161" w:lineRule="exact"/>
        <w:tabs>
          <w:tab w:leader="none" w:pos="9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2"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spacing w:after="0" w:line="30" w:lineRule="exact"/>
        <w:rPr>
          <w:sz w:val="20"/>
          <w:szCs w:val="20"/>
          <w:color w:val="auto"/>
        </w:rPr>
      </w:pPr>
    </w:p>
    <w:p>
      <w:pPr>
        <w:ind w:left="1560"/>
        <w:spacing w:after="0" w:line="161" w:lineRule="exact"/>
        <w:tabs>
          <w:tab w:leader="none" w:pos="3860" w:val="left"/>
          <w:tab w:leader="none" w:pos="5880" w:val="left"/>
          <w:tab w:leader="none" w:pos="85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0"/>
          <w:szCs w:val="20"/>
          <w:color w:val="auto"/>
        </w:rPr>
      </w:pPr>
    </w:p>
    <w:p>
      <w:pPr>
        <w:ind w:right="2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right="140" w:firstLine="8"/>
        <w:spacing w:after="0" w:line="251" w:lineRule="auto"/>
        <w:tabs>
          <w:tab w:leader="none" w:pos="10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61" w:lineRule="exact"/>
        <w:rPr>
          <w:sz w:val="20"/>
          <w:szCs w:val="20"/>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74" w:lineRule="exact"/>
        <w:rPr>
          <w:sz w:val="20"/>
          <w:szCs w:val="20"/>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60" w:lineRule="exact"/>
        <w:rPr>
          <w:sz w:val="20"/>
          <w:szCs w:val="20"/>
          <w:color w:val="auto"/>
        </w:rPr>
      </w:pPr>
    </w:p>
    <w:p>
      <w:pPr>
        <w:ind w:left="3780" w:right="1240" w:hanging="2784"/>
        <w:spacing w:after="0" w:line="192" w:lineRule="exact"/>
        <w:tabs>
          <w:tab w:leader="none" w:pos="376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International Financial Reporting Standards as issued by the Other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International Accounting Standards Board </w:t>
      </w:r>
      <w:r>
        <w:rPr>
          <w:rFonts w:ascii="MS PGothic" w:cs="MS PGothic" w:eastAsia="MS PGothic" w:hAnsi="MS PGothic"/>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73" w:lineRule="exact"/>
        <w:rPr>
          <w:sz w:val="20"/>
          <w:szCs w:val="20"/>
          <w:color w:val="auto"/>
        </w:rPr>
      </w:pPr>
    </w:p>
    <w:p>
      <w:pPr>
        <w:jc w:val="right"/>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73" w:lineRule="exact"/>
        <w:rPr>
          <w:sz w:val="20"/>
          <w:szCs w:val="20"/>
          <w:color w:val="auto"/>
        </w:rPr>
      </w:pPr>
    </w:p>
    <w:p>
      <w:pPr>
        <w:ind w:left="9300"/>
        <w:spacing w:after="0" w:line="161" w:lineRule="exact"/>
        <w:tabs>
          <w:tab w:leader="none" w:pos="9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9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43" w:lineRule="exact"/>
        <w:rPr>
          <w:sz w:val="20"/>
          <w:szCs w:val="20"/>
          <w:color w:val="auto"/>
        </w:rPr>
      </w:pPr>
    </w:p>
    <w:p>
      <w:pPr>
        <w:ind w:left="9300"/>
        <w:spacing w:after="0" w:line="161" w:lineRule="exact"/>
        <w:tabs>
          <w:tab w:leader="none" w:pos="988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1059180</wp:posOffset>
            </wp:positionV>
            <wp:extent cx="6495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54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495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150495</wp:posOffset>
            </wp:positionV>
            <wp:extent cx="649541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5415" cy="33655"/>
                    </a:xfrm>
                    <a:prstGeom prst="rect">
                      <a:avLst/>
                    </a:prstGeom>
                    <a:noFill/>
                  </pic:spPr>
                </pic:pic>
              </a:graphicData>
            </a:graphic>
          </wp:anchor>
        </w:drawing>
      </w:r>
    </w:p>
    <w:p>
      <w:pPr>
        <w:sectPr>
          <w:pgSz w:w="11900" w:h="16838" w:orient="portrait"/>
          <w:cols w:equalWidth="0" w:num="1">
            <w:col w:w="10240"/>
          </w:cols>
          <w:pgMar w:left="820" w:top="505"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20" w:type="dxa"/>
            <w:vAlign w:val="bottom"/>
          </w:tcPr>
          <w:p>
            <w:pPr>
              <w:spacing w:after="0"/>
              <w:rPr>
                <w:sz w:val="17"/>
                <w:szCs w:val="17"/>
                <w:color w:val="auto"/>
              </w:rPr>
            </w:pPr>
          </w:p>
        </w:tc>
      </w:tr>
      <w:tr>
        <w:trPr>
          <w:trHeight w:val="776"/>
        </w:trPr>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6"/>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4"/>
                <w:szCs w:val="24"/>
                <w:color w:val="auto"/>
              </w:rPr>
            </w:pPr>
          </w:p>
        </w:tc>
      </w:tr>
      <w:tr>
        <w:trPr>
          <w:trHeight w:val="396"/>
        </w:trPr>
        <w:tc>
          <w:tcPr>
            <w:tcW w:w="80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000" w:type="dxa"/>
            <w:vAlign w:val="bottom"/>
            <w:gridSpan w:val="40"/>
          </w:tcPr>
          <w:p>
            <w:pPr>
              <w:spacing w:after="0" w:line="192" w:lineRule="exact"/>
              <w:rPr>
                <w:sz w:val="20"/>
                <w:szCs w:val="20"/>
                <w:color w:val="auto"/>
              </w:rPr>
            </w:pPr>
            <w:r>
              <w:rPr>
                <w:rFonts w:ascii="Times New Roman" w:cs="Times New Roman" w:eastAsia="Times New Roman" w:hAnsi="Times New Roman"/>
                <w:sz w:val="18"/>
                <w:szCs w:val="18"/>
                <w:color w:val="0000EE"/>
              </w:rPr>
              <w:t>FORWARD-LOOKING INFORMATION AND RISK FACTORS SUMMARY</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w:t>
            </w:r>
          </w:p>
        </w:tc>
      </w:tr>
      <w:tr>
        <w:trPr>
          <w:trHeight w:val="192"/>
        </w:trPr>
        <w:tc>
          <w:tcPr>
            <w:tcW w:w="540" w:type="dxa"/>
            <w:vAlign w:val="bottom"/>
            <w:tcBorders>
              <w:top w:val="single" w:sz="8" w:color="0000EE"/>
              <w:bottom w:val="single" w:sz="8" w:color="0000EE"/>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1"/>
              </w:rPr>
              <w:t>PART I</w:t>
            </w:r>
          </w:p>
        </w:tc>
        <w:tc>
          <w:tcPr>
            <w:tcW w:w="280" w:type="dxa"/>
            <w:vAlign w:val="bottom"/>
            <w:tcBorders>
              <w:top w:val="single" w:sz="8" w:color="0000EE"/>
            </w:tcBorders>
            <w:gridSpan w:val="7"/>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2.</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3.</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Key Information</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4.</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4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6"/>
              </w:rPr>
              <w:t>Item 4A.</w:t>
            </w:r>
          </w:p>
        </w:tc>
        <w:tc>
          <w:tcPr>
            <w:tcW w:w="180" w:type="dxa"/>
            <w:vAlign w:val="bottom"/>
            <w:gridSpan w:val="4"/>
          </w:tcPr>
          <w:p>
            <w:pPr>
              <w:spacing w:after="0"/>
              <w:rPr>
                <w:sz w:val="16"/>
                <w:szCs w:val="16"/>
                <w:color w:val="auto"/>
              </w:rPr>
            </w:pPr>
          </w:p>
        </w:tc>
        <w:tc>
          <w:tcPr>
            <w:tcW w:w="2060" w:type="dxa"/>
            <w:vAlign w:val="bottom"/>
            <w:tcBorders>
              <w:bottom w:val="single" w:sz="8" w:color="0000EE"/>
            </w:tcBorders>
            <w:gridSpan w:val="13"/>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Unresolved Staff Comments</w:t>
            </w:r>
          </w:p>
        </w:tc>
        <w:tc>
          <w:tcPr>
            <w:tcW w:w="5120" w:type="dxa"/>
            <w:vAlign w:val="bottom"/>
            <w:gridSpan w:val="18"/>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105</w:t>
            </w: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5.</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6.</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7.</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8.</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9.</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The Offer and Listing</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00" w:type="dxa"/>
            <w:vAlign w:val="bottom"/>
            <w:tcBorders>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10.</w:t>
            </w:r>
          </w:p>
        </w:tc>
        <w:tc>
          <w:tcPr>
            <w:tcW w:w="220" w:type="dxa"/>
            <w:vAlign w:val="bottom"/>
            <w:gridSpan w:val="6"/>
          </w:tcPr>
          <w:p>
            <w:pPr>
              <w:spacing w:after="0"/>
              <w:rPr>
                <w:sz w:val="16"/>
                <w:szCs w:val="16"/>
                <w:color w:val="auto"/>
              </w:rPr>
            </w:pPr>
          </w:p>
        </w:tc>
        <w:tc>
          <w:tcPr>
            <w:tcW w:w="1660" w:type="dxa"/>
            <w:vAlign w:val="bottom"/>
            <w:tcBorders>
              <w:bottom w:val="single" w:sz="8" w:color="0000EE"/>
            </w:tcBorders>
            <w:gridSpan w:val="11"/>
          </w:tcPr>
          <w:p>
            <w:pPr>
              <w:ind w:left="20"/>
              <w:spacing w:after="0" w:line="192" w:lineRule="exact"/>
              <w:rPr>
                <w:sz w:val="20"/>
                <w:szCs w:val="20"/>
                <w:color w:val="auto"/>
              </w:rPr>
            </w:pPr>
            <w:r>
              <w:rPr>
                <w:rFonts w:ascii="Times New Roman" w:cs="Times New Roman" w:eastAsia="Times New Roman" w:hAnsi="Times New Roman"/>
                <w:sz w:val="18"/>
                <w:szCs w:val="18"/>
                <w:color w:val="0000EE"/>
                <w:w w:val="96"/>
              </w:rPr>
              <w:t>Additional Information</w:t>
            </w:r>
          </w:p>
        </w:tc>
        <w:tc>
          <w:tcPr>
            <w:tcW w:w="5520" w:type="dxa"/>
            <w:vAlign w:val="bottom"/>
            <w:gridSpan w:val="20"/>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149</w:t>
            </w:r>
          </w:p>
        </w:tc>
      </w:tr>
      <w:tr>
        <w:trPr>
          <w:trHeight w:val="192"/>
        </w:trPr>
        <w:tc>
          <w:tcPr>
            <w:tcW w:w="60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11.</w:t>
            </w:r>
          </w:p>
        </w:tc>
        <w:tc>
          <w:tcPr>
            <w:tcW w:w="220" w:type="dxa"/>
            <w:vAlign w:val="bottom"/>
            <w:gridSpan w:val="6"/>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161</w:t>
            </w:r>
          </w:p>
        </w:tc>
      </w:tr>
      <w:tr>
        <w:trPr>
          <w:trHeight w:val="192"/>
        </w:trPr>
        <w:tc>
          <w:tcPr>
            <w:tcW w:w="600" w:type="dxa"/>
            <w:vAlign w:val="bottom"/>
            <w:tcBorders>
              <w:top w:val="single" w:sz="8" w:color="0000EE"/>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12.</w:t>
            </w:r>
          </w:p>
        </w:tc>
        <w:tc>
          <w:tcPr>
            <w:tcW w:w="220" w:type="dxa"/>
            <w:vAlign w:val="bottom"/>
            <w:gridSpan w:val="6"/>
          </w:tcPr>
          <w:p>
            <w:pPr>
              <w:spacing w:after="0"/>
              <w:rPr>
                <w:sz w:val="16"/>
                <w:szCs w:val="16"/>
                <w:color w:val="auto"/>
              </w:rPr>
            </w:pPr>
          </w:p>
        </w:tc>
        <w:tc>
          <w:tcPr>
            <w:tcW w:w="3820" w:type="dxa"/>
            <w:vAlign w:val="bottom"/>
            <w:tcBorders>
              <w:top w:val="single" w:sz="8" w:color="0000EE"/>
              <w:bottom w:val="single" w:sz="8" w:color="0000EE"/>
            </w:tcBorders>
            <w:gridSpan w:val="22"/>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Description of Securities Other than Equity Securities</w:t>
            </w:r>
          </w:p>
        </w:tc>
        <w:tc>
          <w:tcPr>
            <w:tcW w:w="460" w:type="dxa"/>
            <w:vAlign w:val="bottom"/>
            <w:tcBorders>
              <w:top w:val="single" w:sz="8" w:color="0000EE"/>
            </w:tcBorders>
            <w:gridSpan w:val="2"/>
          </w:tcPr>
          <w:p>
            <w:pPr>
              <w:spacing w:after="0"/>
              <w:rPr>
                <w:sz w:val="16"/>
                <w:szCs w:val="16"/>
                <w:color w:val="auto"/>
              </w:rPr>
            </w:pPr>
          </w:p>
        </w:tc>
        <w:tc>
          <w:tcPr>
            <w:tcW w:w="2900" w:type="dxa"/>
            <w:vAlign w:val="bottom"/>
            <w:gridSpan w:val="7"/>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161</w:t>
            </w:r>
          </w:p>
        </w:tc>
      </w:tr>
      <w:tr>
        <w:trPr>
          <w:trHeight w:val="192"/>
        </w:trPr>
        <w:tc>
          <w:tcPr>
            <w:tcW w:w="620" w:type="dxa"/>
            <w:vAlign w:val="bottom"/>
            <w:tcBorders>
              <w:bottom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5"/>
              </w:rPr>
              <w:t>PART II</w:t>
            </w:r>
          </w:p>
        </w:tc>
        <w:tc>
          <w:tcPr>
            <w:tcW w:w="200" w:type="dxa"/>
            <w:vAlign w:val="bottom"/>
            <w:gridSpan w:val="5"/>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163</w:t>
            </w:r>
          </w:p>
        </w:tc>
      </w:tr>
      <w:tr>
        <w:trPr>
          <w:trHeight w:val="192"/>
        </w:trPr>
        <w:tc>
          <w:tcPr>
            <w:tcW w:w="6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9"/>
              </w:rPr>
              <w:t>Item 13.</w:t>
            </w:r>
          </w:p>
        </w:tc>
        <w:tc>
          <w:tcPr>
            <w:tcW w:w="200" w:type="dxa"/>
            <w:vAlign w:val="bottom"/>
            <w:gridSpan w:val="5"/>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9"/>
              </w:rPr>
              <w:t>Item 14.</w:t>
            </w:r>
          </w:p>
        </w:tc>
        <w:tc>
          <w:tcPr>
            <w:tcW w:w="200" w:type="dxa"/>
            <w:vAlign w:val="bottom"/>
            <w:gridSpan w:val="5"/>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163</w:t>
            </w:r>
          </w:p>
        </w:tc>
      </w:tr>
      <w:tr>
        <w:trPr>
          <w:trHeight w:val="192"/>
        </w:trPr>
        <w:tc>
          <w:tcPr>
            <w:tcW w:w="620" w:type="dxa"/>
            <w:vAlign w:val="bottom"/>
            <w:tcBorders>
              <w:top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9"/>
              </w:rPr>
              <w:t>Item 15.</w:t>
            </w:r>
          </w:p>
        </w:tc>
        <w:tc>
          <w:tcPr>
            <w:tcW w:w="200" w:type="dxa"/>
            <w:vAlign w:val="bottom"/>
            <w:gridSpan w:val="5"/>
          </w:tcPr>
          <w:p>
            <w:pPr>
              <w:spacing w:after="0"/>
              <w:rPr>
                <w:sz w:val="16"/>
                <w:szCs w:val="16"/>
                <w:color w:val="auto"/>
              </w:rPr>
            </w:pPr>
          </w:p>
        </w:tc>
        <w:tc>
          <w:tcPr>
            <w:tcW w:w="5500" w:type="dxa"/>
            <w:vAlign w:val="bottom"/>
            <w:tcBorders>
              <w:top w:val="single" w:sz="8" w:color="0000EE"/>
            </w:tcBorders>
            <w:gridSpan w:val="30"/>
          </w:tcPr>
          <w:p>
            <w:pPr>
              <w:ind w:left="20"/>
              <w:spacing w:after="0" w:line="192" w:lineRule="exact"/>
              <w:rPr>
                <w:sz w:val="20"/>
                <w:szCs w:val="20"/>
                <w:color w:val="auto"/>
              </w:rPr>
            </w:pPr>
            <w:r>
              <w:rPr>
                <w:rFonts w:ascii="Times New Roman" w:cs="Times New Roman" w:eastAsia="Times New Roman" w:hAnsi="Times New Roman"/>
                <w:sz w:val="18"/>
                <w:szCs w:val="18"/>
                <w:color w:val="0000EE"/>
              </w:rPr>
              <w:t>Controls and Procedures Disclosure Controls and Procedures</w:t>
            </w:r>
          </w:p>
        </w:tc>
        <w:tc>
          <w:tcPr>
            <w:tcW w:w="1680" w:type="dxa"/>
            <w:vAlign w:val="bottom"/>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16.A.</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164</w:t>
            </w:r>
          </w:p>
        </w:tc>
      </w:tr>
      <w:tr>
        <w:trPr>
          <w:trHeight w:val="192"/>
        </w:trPr>
        <w:tc>
          <w:tcPr>
            <w:tcW w:w="760" w:type="dxa"/>
            <w:vAlign w:val="bottom"/>
            <w:tcBorders>
              <w:top w:val="single" w:sz="8" w:color="0000EE"/>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4"/>
              </w:rPr>
              <w:t>Item 16.B.</w:t>
            </w:r>
          </w:p>
        </w:tc>
        <w:tc>
          <w:tcPr>
            <w:tcW w:w="60" w:type="dxa"/>
            <w:vAlign w:val="bottom"/>
            <w:gridSpan w:val="2"/>
          </w:tcPr>
          <w:p>
            <w:pPr>
              <w:spacing w:after="0"/>
              <w:rPr>
                <w:sz w:val="16"/>
                <w:szCs w:val="16"/>
                <w:color w:val="auto"/>
              </w:rPr>
            </w:pPr>
          </w:p>
        </w:tc>
        <w:tc>
          <w:tcPr>
            <w:tcW w:w="1060" w:type="dxa"/>
            <w:vAlign w:val="bottom"/>
            <w:tcBorders>
              <w:top w:val="single" w:sz="8" w:color="0000EE"/>
              <w:bottom w:val="single" w:sz="8" w:color="0000EE"/>
            </w:tcBorders>
            <w:gridSpan w:val="5"/>
          </w:tcPr>
          <w:p>
            <w:pPr>
              <w:ind w:left="20"/>
              <w:spacing w:after="0" w:line="192" w:lineRule="exact"/>
              <w:rPr>
                <w:sz w:val="20"/>
                <w:szCs w:val="20"/>
                <w:color w:val="auto"/>
              </w:rPr>
            </w:pPr>
            <w:r>
              <w:rPr>
                <w:rFonts w:ascii="Times New Roman" w:cs="Times New Roman" w:eastAsia="Times New Roman" w:hAnsi="Times New Roman"/>
                <w:sz w:val="18"/>
                <w:szCs w:val="18"/>
                <w:color w:val="0000EE"/>
                <w:w w:val="95"/>
              </w:rPr>
              <w:t>Code of Ethics</w:t>
            </w:r>
          </w:p>
        </w:tc>
        <w:tc>
          <w:tcPr>
            <w:tcW w:w="1400" w:type="dxa"/>
            <w:vAlign w:val="bottom"/>
            <w:tcBorders>
              <w:top w:val="single" w:sz="8" w:color="0000EE"/>
            </w:tcBorders>
            <w:gridSpan w:val="9"/>
          </w:tcPr>
          <w:p>
            <w:pPr>
              <w:spacing w:after="0"/>
              <w:rPr>
                <w:sz w:val="16"/>
                <w:szCs w:val="16"/>
                <w:color w:val="auto"/>
              </w:rPr>
            </w:pPr>
          </w:p>
        </w:tc>
        <w:tc>
          <w:tcPr>
            <w:tcW w:w="4720" w:type="dxa"/>
            <w:vAlign w:val="bottom"/>
            <w:gridSpan w:val="17"/>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164</w:t>
            </w:r>
          </w:p>
        </w:tc>
      </w:tr>
      <w:tr>
        <w:trPr>
          <w:trHeight w:val="192"/>
        </w:trPr>
        <w:tc>
          <w:tcPr>
            <w:tcW w:w="76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4"/>
              </w:rPr>
              <w:t>Item 16.C.</w:t>
            </w:r>
          </w:p>
        </w:tc>
        <w:tc>
          <w:tcPr>
            <w:tcW w:w="60" w:type="dxa"/>
            <w:vAlign w:val="bottom"/>
            <w:gridSpan w:val="2"/>
          </w:tcPr>
          <w:p>
            <w:pPr>
              <w:spacing w:after="0"/>
              <w:rPr>
                <w:sz w:val="16"/>
                <w:szCs w:val="16"/>
                <w:color w:val="auto"/>
              </w:rPr>
            </w:pPr>
          </w:p>
        </w:tc>
        <w:tc>
          <w:tcPr>
            <w:tcW w:w="3780" w:type="dxa"/>
            <w:vAlign w:val="bottom"/>
            <w:tcBorders>
              <w:bottom w:val="single" w:sz="8" w:color="0000EE"/>
            </w:tcBorders>
            <w:gridSpan w:val="21"/>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Principal Accountant Fees and Services Auditor Fees</w:t>
            </w:r>
          </w:p>
        </w:tc>
        <w:tc>
          <w:tcPr>
            <w:tcW w:w="3400" w:type="dxa"/>
            <w:vAlign w:val="bottom"/>
            <w:gridSpan w:val="10"/>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165</w:t>
            </w: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16.D.</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76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5"/>
              </w:rPr>
              <w:t>Item 16.E.</w:t>
            </w:r>
          </w:p>
        </w:tc>
        <w:tc>
          <w:tcPr>
            <w:tcW w:w="60" w:type="dxa"/>
            <w:vAlign w:val="bottom"/>
            <w:gridSpan w:val="2"/>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165</w:t>
            </w:r>
          </w:p>
        </w:tc>
      </w:tr>
      <w:tr>
        <w:trPr>
          <w:trHeight w:val="192"/>
        </w:trPr>
        <w:tc>
          <w:tcPr>
            <w:tcW w:w="760" w:type="dxa"/>
            <w:vAlign w:val="bottom"/>
            <w:tcBorders>
              <w:top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16.F.</w:t>
            </w:r>
          </w:p>
        </w:tc>
        <w:tc>
          <w:tcPr>
            <w:tcW w:w="60" w:type="dxa"/>
            <w:vAlign w:val="bottom"/>
            <w:gridSpan w:val="2"/>
          </w:tcPr>
          <w:p>
            <w:pPr>
              <w:spacing w:after="0"/>
              <w:rPr>
                <w:sz w:val="16"/>
                <w:szCs w:val="16"/>
                <w:color w:val="auto"/>
              </w:rPr>
            </w:pPr>
          </w:p>
        </w:tc>
        <w:tc>
          <w:tcPr>
            <w:tcW w:w="4940" w:type="dxa"/>
            <w:vAlign w:val="bottom"/>
            <w:tcBorders>
              <w:top w:val="single" w:sz="8" w:color="0000EE"/>
            </w:tcBorders>
            <w:gridSpan w:val="29"/>
          </w:tcPr>
          <w:p>
            <w:pPr>
              <w:ind w:left="20"/>
              <w:spacing w:after="0" w:line="192"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240" w:type="dxa"/>
            <w:vAlign w:val="bottom"/>
            <w:gridSpan w:val="2"/>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780" w:type="dxa"/>
            <w:vAlign w:val="bottom"/>
            <w:tcBorders>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8"/>
              </w:rPr>
              <w:t>Item 16.G.</w:t>
            </w:r>
          </w:p>
        </w:tc>
        <w:tc>
          <w:tcPr>
            <w:tcW w:w="40" w:type="dxa"/>
            <w:vAlign w:val="bottom"/>
          </w:tcPr>
          <w:p>
            <w:pPr>
              <w:spacing w:after="0"/>
              <w:rPr>
                <w:sz w:val="16"/>
                <w:szCs w:val="16"/>
                <w:color w:val="auto"/>
              </w:rPr>
            </w:pPr>
          </w:p>
        </w:tc>
        <w:tc>
          <w:tcPr>
            <w:tcW w:w="1620" w:type="dxa"/>
            <w:vAlign w:val="bottom"/>
            <w:tcBorders>
              <w:bottom w:val="single" w:sz="8" w:color="0000EE"/>
            </w:tcBorders>
            <w:gridSpan w:val="10"/>
          </w:tcPr>
          <w:p>
            <w:pPr>
              <w:ind w:left="20"/>
              <w:spacing w:after="0" w:line="192" w:lineRule="exact"/>
              <w:rPr>
                <w:sz w:val="20"/>
                <w:szCs w:val="20"/>
                <w:color w:val="auto"/>
              </w:rPr>
            </w:pPr>
            <w:r>
              <w:rPr>
                <w:rFonts w:ascii="Times New Roman" w:cs="Times New Roman" w:eastAsia="Times New Roman" w:hAnsi="Times New Roman"/>
                <w:sz w:val="18"/>
                <w:szCs w:val="18"/>
                <w:color w:val="0000EE"/>
                <w:w w:val="96"/>
              </w:rPr>
              <w:t>Corporate Governance</w:t>
            </w:r>
          </w:p>
        </w:tc>
        <w:tc>
          <w:tcPr>
            <w:tcW w:w="5560" w:type="dxa"/>
            <w:vAlign w:val="bottom"/>
            <w:gridSpan w:val="21"/>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166</w:t>
            </w: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16.H.</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Mine Safety Disclosure</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700" w:type="dxa"/>
            <w:vAlign w:val="bottom"/>
            <w:tcBorders>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3"/>
              </w:rPr>
              <w:t>Item 16.I.</w:t>
            </w: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4820" w:type="dxa"/>
            <w:vAlign w:val="bottom"/>
            <w:tcBorders>
              <w:bottom w:val="single" w:sz="8" w:color="0000EE"/>
            </w:tcBorders>
            <w:gridSpan w:val="28"/>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Disclosure Regarding Foreign Jurisdictions that Prevent Inspections</w:t>
            </w:r>
          </w:p>
        </w:tc>
        <w:tc>
          <w:tcPr>
            <w:tcW w:w="2360" w:type="dxa"/>
            <w:vAlign w:val="bottom"/>
            <w:gridSpan w:val="3"/>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166</w:t>
            </w:r>
          </w:p>
        </w:tc>
      </w:tr>
      <w:tr>
        <w:trPr>
          <w:trHeight w:val="192"/>
        </w:trPr>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16.J.</w:t>
            </w: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Insider Trading Policy</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8000" w:type="dxa"/>
            <w:vAlign w:val="bottom"/>
            <w:gridSpan w:val="40"/>
          </w:tcPr>
          <w:p>
            <w:pPr>
              <w:spacing w:after="0" w:line="192" w:lineRule="exact"/>
              <w:rPr>
                <w:sz w:val="20"/>
                <w:szCs w:val="20"/>
                <w:color w:val="auto"/>
              </w:rPr>
            </w:pPr>
            <w:r>
              <w:rPr>
                <w:rFonts w:ascii="Times New Roman" w:cs="Times New Roman" w:eastAsia="Times New Roman" w:hAnsi="Times New Roman"/>
                <w:sz w:val="18"/>
                <w:szCs w:val="18"/>
                <w:color w:val="0000EE"/>
              </w:rPr>
              <w:t>Item 16.K. Cybersecurity</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166</w:t>
            </w:r>
          </w:p>
        </w:tc>
      </w:tr>
      <w:tr>
        <w:trPr>
          <w:trHeight w:val="192"/>
        </w:trPr>
        <w:tc>
          <w:tcPr>
            <w:tcW w:w="700" w:type="dxa"/>
            <w:vAlign w:val="bottom"/>
            <w:tcBorders>
              <w:top w:val="single" w:sz="8" w:color="0000EE"/>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6"/>
              </w:rPr>
              <w:t>PART III</w:t>
            </w:r>
          </w:p>
        </w:tc>
        <w:tc>
          <w:tcPr>
            <w:tcW w:w="60" w:type="dxa"/>
            <w:vAlign w:val="bottom"/>
            <w:tcBorders>
              <w:top w:val="single" w:sz="8" w:color="0000EE"/>
            </w:tcBorders>
          </w:tcPr>
          <w:p>
            <w:pPr>
              <w:spacing w:after="0"/>
              <w:rPr>
                <w:sz w:val="16"/>
                <w:szCs w:val="16"/>
                <w:color w:val="auto"/>
              </w:rPr>
            </w:pPr>
          </w:p>
        </w:tc>
        <w:tc>
          <w:tcPr>
            <w:tcW w:w="60" w:type="dxa"/>
            <w:vAlign w:val="bottom"/>
            <w:gridSpan w:val="2"/>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168</w:t>
            </w:r>
          </w:p>
        </w:tc>
      </w:tr>
      <w:tr>
        <w:trPr>
          <w:trHeight w:val="192"/>
        </w:trPr>
        <w:tc>
          <w:tcPr>
            <w:tcW w:w="6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9"/>
              </w:rPr>
              <w:t>Item 17.</w:t>
            </w:r>
          </w:p>
        </w:tc>
        <w:tc>
          <w:tcPr>
            <w:tcW w:w="200" w:type="dxa"/>
            <w:vAlign w:val="bottom"/>
            <w:gridSpan w:val="5"/>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Financial Statements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168</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6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9"/>
              </w:rPr>
              <w:t>Item 18.</w:t>
            </w:r>
          </w:p>
        </w:tc>
        <w:tc>
          <w:tcPr>
            <w:tcW w:w="200" w:type="dxa"/>
            <w:vAlign w:val="bottom"/>
            <w:gridSpan w:val="5"/>
          </w:tcPr>
          <w:p>
            <w:pPr>
              <w:spacing w:after="0"/>
              <w:rPr>
                <w:sz w:val="16"/>
                <w:szCs w:val="16"/>
                <w:color w:val="auto"/>
              </w:rPr>
            </w:pPr>
          </w:p>
        </w:tc>
        <w:tc>
          <w:tcPr>
            <w:tcW w:w="7180" w:type="dxa"/>
            <w:vAlign w:val="bottom"/>
            <w:gridSpan w:val="31"/>
          </w:tcPr>
          <w:p>
            <w:pPr>
              <w:ind w:left="20"/>
              <w:spacing w:after="0" w:line="192" w:lineRule="exact"/>
              <w:rPr>
                <w:sz w:val="20"/>
                <w:szCs w:val="20"/>
                <w:color w:val="auto"/>
              </w:rPr>
            </w:pPr>
            <w:r>
              <w:rPr>
                <w:rFonts w:ascii="Times New Roman" w:cs="Times New Roman" w:eastAsia="Times New Roman" w:hAnsi="Times New Roman"/>
                <w:sz w:val="18"/>
                <w:szCs w:val="18"/>
                <w:color w:val="0000EE"/>
              </w:rPr>
              <w:t>Financial Statements</w:t>
            </w: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168</w:t>
            </w:r>
          </w:p>
        </w:tc>
      </w:tr>
      <w:tr>
        <w:trPr>
          <w:trHeight w:val="192"/>
        </w:trPr>
        <w:tc>
          <w:tcPr>
            <w:tcW w:w="600" w:type="dxa"/>
            <w:vAlign w:val="bottom"/>
            <w:tcBorders>
              <w:top w:val="single" w:sz="8" w:color="0000EE"/>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6"/>
              </w:rPr>
              <w:t>Item 19.</w:t>
            </w:r>
          </w:p>
        </w:tc>
        <w:tc>
          <w:tcPr>
            <w:tcW w:w="20" w:type="dxa"/>
            <w:vAlign w:val="bottom"/>
            <w:tcBorders>
              <w:top w:val="single" w:sz="8" w:color="0000EE"/>
            </w:tcBorders>
          </w:tcPr>
          <w:p>
            <w:pPr>
              <w:spacing w:after="0"/>
              <w:rPr>
                <w:sz w:val="16"/>
                <w:szCs w:val="16"/>
                <w:color w:val="auto"/>
              </w:rPr>
            </w:pPr>
          </w:p>
        </w:tc>
        <w:tc>
          <w:tcPr>
            <w:tcW w:w="200" w:type="dxa"/>
            <w:vAlign w:val="bottom"/>
            <w:gridSpan w:val="5"/>
          </w:tcPr>
          <w:p>
            <w:pPr>
              <w:spacing w:after="0"/>
              <w:rPr>
                <w:sz w:val="16"/>
                <w:szCs w:val="16"/>
                <w:color w:val="auto"/>
              </w:rPr>
            </w:pPr>
          </w:p>
        </w:tc>
        <w:tc>
          <w:tcPr>
            <w:tcW w:w="600" w:type="dxa"/>
            <w:vAlign w:val="bottom"/>
            <w:tcBorders>
              <w:top w:val="single" w:sz="8" w:color="0000EE"/>
              <w:bottom w:val="single" w:sz="8" w:color="0000EE"/>
            </w:tcBorders>
            <w:gridSpan w:val="3"/>
          </w:tcPr>
          <w:p>
            <w:pPr>
              <w:ind w:left="20"/>
              <w:spacing w:after="0" w:line="192" w:lineRule="exact"/>
              <w:rPr>
                <w:sz w:val="20"/>
                <w:szCs w:val="20"/>
                <w:color w:val="auto"/>
              </w:rPr>
            </w:pPr>
            <w:r>
              <w:rPr>
                <w:rFonts w:ascii="Times New Roman" w:cs="Times New Roman" w:eastAsia="Times New Roman" w:hAnsi="Times New Roman"/>
                <w:sz w:val="18"/>
                <w:szCs w:val="18"/>
                <w:color w:val="0000EE"/>
                <w:w w:val="93"/>
              </w:rPr>
              <w:t>Exhibits</w:t>
            </w:r>
          </w:p>
        </w:tc>
        <w:tc>
          <w:tcPr>
            <w:tcW w:w="880" w:type="dxa"/>
            <w:vAlign w:val="bottom"/>
            <w:tcBorders>
              <w:top w:val="single" w:sz="8" w:color="0000EE"/>
            </w:tcBorders>
            <w:gridSpan w:val="4"/>
          </w:tcPr>
          <w:p>
            <w:pPr>
              <w:spacing w:after="0"/>
              <w:rPr>
                <w:sz w:val="16"/>
                <w:szCs w:val="16"/>
                <w:color w:val="auto"/>
              </w:rPr>
            </w:pPr>
          </w:p>
        </w:tc>
        <w:tc>
          <w:tcPr>
            <w:tcW w:w="5700" w:type="dxa"/>
            <w:vAlign w:val="bottom"/>
            <w:gridSpan w:val="24"/>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168</w:t>
            </w:r>
          </w:p>
        </w:tc>
      </w:tr>
      <w:tr>
        <w:trPr>
          <w:trHeight w:val="192"/>
        </w:trPr>
        <w:tc>
          <w:tcPr>
            <w:tcW w:w="4380" w:type="dxa"/>
            <w:vAlign w:val="bottom"/>
            <w:tcBorders>
              <w:bottom w:val="single" w:sz="8" w:color="0000EE"/>
            </w:tcBorders>
            <w:gridSpan w:val="28"/>
          </w:tcPr>
          <w:p>
            <w:pPr>
              <w:spacing w:after="0" w:line="192" w:lineRule="exact"/>
              <w:rPr>
                <w:sz w:val="20"/>
                <w:szCs w:val="20"/>
                <w:color w:val="auto"/>
              </w:rPr>
            </w:pPr>
            <w:r>
              <w:rPr>
                <w:rFonts w:ascii="Times New Roman" w:cs="Times New Roman" w:eastAsia="Times New Roman" w:hAnsi="Times New Roman"/>
                <w:sz w:val="18"/>
                <w:szCs w:val="18"/>
                <w:color w:val="0000EE"/>
                <w:w w:val="96"/>
              </w:rPr>
              <w:t>INDEX TO CONSOLIDATED FINANCIAL STATEMENTS</w:t>
            </w:r>
          </w:p>
        </w:tc>
        <w:tc>
          <w:tcPr>
            <w:tcW w:w="3620" w:type="dxa"/>
            <w:vAlign w:val="bottom"/>
            <w:gridSpan w:val="12"/>
          </w:tcPr>
          <w:p>
            <w:pPr>
              <w:spacing w:after="0"/>
              <w:rPr>
                <w:sz w:val="16"/>
                <w:szCs w:val="16"/>
                <w:color w:val="auto"/>
              </w:rPr>
            </w:pPr>
          </w:p>
        </w:tc>
        <w:tc>
          <w:tcPr>
            <w:tcW w:w="19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217" w:lineRule="exact"/>
        <w:rPr>
          <w:sz w:val="20"/>
          <w:szCs w:val="20"/>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eight of the Company’s Class A Ordinary Shares;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Wholly Foreign Owned Enterprise”, or “Beijing WFOE”, refers to Beijing Luckin Coffee Co., Ltd.;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the Cyberspace Administration of China;</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refers to the China Securities Regulatory Commission;</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Designation” refers to the certificate of designation dated November 30, 2021 that the Company adopted to create and issue a new series of preferred shares;</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only in the context of describing PRC laws, regulations and other legal or tax matters in this annual report, excludes Taiwan, Hong Kong, and Macau;</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the Company’s Class A Ordinary Shares of par value US$0.000002 per share;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the Company’s Class B Ordinary Shares of par value US$0.000002 per share;</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refers to Luckin Coffee Inc., a Cayman Islands exempted company in which investors in the ADSs are purchasing an interest; it is a holding company that does not conduct operations;</w:t>
      </w:r>
    </w:p>
    <w:p>
      <w:pPr>
        <w:spacing w:after="0" w:line="163" w:lineRule="exact"/>
        <w:rPr>
          <w:rFonts w:ascii="Times New Roman" w:cs="Times New Roman" w:eastAsia="Times New Roman" w:hAnsi="Times New Roman"/>
          <w:sz w:val="18"/>
          <w:szCs w:val="18"/>
          <w:color w:val="auto"/>
        </w:rPr>
      </w:pPr>
    </w:p>
    <w:p>
      <w:pPr>
        <w:jc w:val="both"/>
        <w:ind w:left="660" w:hanging="309"/>
        <w:spacing w:after="0" w:line="25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variable interest entity” or “Former VIE” refers to Beijing Luckin Coffee Technology Ltd., which is a PRC company whose financial results had been consolidated into our consolidated financial statements for accounting purposes for the years ended or as of December 31, 2021, 2022 and 2023, but has not been an entity in which we own equity interest; due to the termination of the contractual arrangements entered into by and among the Beijing WFOE, the Former VIE and its shareholders in March 2024, the financial results of the Former VIE will no longer be consolidated into our consolidated financial statements for accounting purposes since the date of termination;</w:t>
      </w:r>
    </w:p>
    <w:p>
      <w:pPr>
        <w:spacing w:after="0" w:line="185"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sold” refers to an item transacted on our mobile apps or through third-party platforms in a given period, regardless of whether the item was paid for or was merely ordered through our free product marketing initiative;</w:t>
      </w:r>
    </w:p>
    <w:p>
      <w:pPr>
        <w:spacing w:after="0" w:line="163" w:lineRule="exact"/>
        <w:rPr>
          <w:rFonts w:ascii="Times New Roman" w:cs="Times New Roman" w:eastAsia="Times New Roman" w:hAnsi="Times New Roman"/>
          <w:sz w:val="18"/>
          <w:szCs w:val="18"/>
          <w:color w:val="auto"/>
        </w:rPr>
      </w:pPr>
    </w:p>
    <w:p>
      <w:pPr>
        <w:jc w:val="both"/>
        <w:ind w:left="660" w:hanging="309"/>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“Luckin,” “we,” “us,” “our company,” “Group” and “our” refer to Luckin Coffee Inc., a Cayman Islands exempted company, its subsidiaries and, only in the context of describing our consolidated financial statements for the years ended or as of December 31, 2021, 2022 and 2023, its former variable interest entity;</w:t>
      </w:r>
    </w:p>
    <w:p>
      <w:pPr>
        <w:spacing w:after="0" w:line="17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“Luckin Group” refers to Luckin Coffee Group Co., Ltd., which previously was also referred as Luckin Coffee (China) Co., Ltd., or Luckin China;</w:t>
      </w:r>
    </w:p>
    <w:p>
      <w:pPr>
        <w:spacing w:after="0" w:line="163" w:lineRule="exact"/>
        <w:rPr>
          <w:rFonts w:ascii="Times New Roman" w:cs="Times New Roman" w:eastAsia="Times New Roman" w:hAnsi="Times New Roman"/>
          <w:sz w:val="18"/>
          <w:szCs w:val="18"/>
          <w:color w:val="auto"/>
        </w:rPr>
      </w:pPr>
    </w:p>
    <w:p>
      <w:pPr>
        <w:jc w:val="both"/>
        <w:ind w:left="660" w:hanging="309"/>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as of the date hereof refers to the Company’s Class A and Class B Ordinary Shares of par value US$0.000002 per share and, prior to the completion of the Company’s initial public offering, its Ordinary Shares and angel-1 and angel-2 shares of par value US$0.001 per share;</w:t>
      </w:r>
    </w:p>
    <w:p>
      <w:pPr>
        <w:spacing w:after="0" w:line="17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mobile apps” refers to our self-developed mobile apps, primarily including Luckin mobile apps and Weixin mini program;</w:t>
      </w:r>
    </w:p>
    <w:p>
      <w:pPr>
        <w:spacing w:after="0" w:line="217" w:lineRule="exact"/>
        <w:rPr>
          <w:rFonts w:ascii="Times New Roman" w:cs="Times New Roman" w:eastAsia="Times New Roman" w:hAnsi="Times New Roman"/>
          <w:sz w:val="18"/>
          <w:szCs w:val="18"/>
          <w:color w:val="auto"/>
        </w:rPr>
      </w:pPr>
    </w:p>
    <w:p>
      <w:pPr>
        <w:jc w:val="both"/>
        <w:ind w:left="660" w:hanging="309"/>
        <w:spacing w:after="0" w:line="25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refers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and their respective subsidiaries in the context of describing their activities.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60" w:hanging="30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Preferred Shares” refers to a series of preferred shares of the Company of par value US$0.000002 per share, designated as “Senior Preferred Shares” pursuant to the Certificate of Designation;</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refers to shares in the capital of the Company of any or all classes as the context may require, including any Ordinary Shares or Senior Preferred Shares;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“SKUs” refers to stock keeping unit, a distinct type of item for sale;</w:t>
      </w:r>
    </w:p>
    <w:p>
      <w:pPr>
        <w:spacing w:after="0" w:line="217" w:lineRule="exact"/>
        <w:rPr>
          <w:rFonts w:ascii="Times New Roman" w:cs="Times New Roman" w:eastAsia="Times New Roman" w:hAnsi="Times New Roman"/>
          <w:sz w:val="18"/>
          <w:szCs w:val="18"/>
          <w:color w:val="auto"/>
        </w:rPr>
      </w:pPr>
    </w:p>
    <w:p>
      <w:pPr>
        <w:jc w:val="both"/>
        <w:ind w:left="660" w:hanging="309"/>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“transacting customer” refers to a customer who bought at least one item we offer on our mobile apps or through third-party platforms in a given period, regardless of whether the customer paid for the item or merely ordered through our free product marketing initiative. Each unique mobile account is treated as a separate customer for purposes of calculating transacting customer; and</w:t>
      </w:r>
    </w:p>
    <w:p>
      <w:pPr>
        <w:spacing w:after="0" w:line="180"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RMB7.0999 to US$1.00, the exchange rate set forth in the H.10 statistical release of the Federal Reserve Board on December 29, 2023. We make no representation that any Renminbi or U.S. dollar amounts could have been, or could be, converted into U.S. dollars or Renminbi, as the case may be, at any particular rate, the rates stated below, or at all.</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Luckin Coffee Inc. is a Cayman Islands holding company that primarily operates its business in China through its PRC subsidiaries. Such structure involves unique risks to investors. See “Item 3. Key Information—3.D. Risk Factors—Risks Relating to Our Corporate Structure—We are a Cayman Islands holding company. As a result, you may experience difficulties in effecting service of legal process, enforcing foreign judgments or bringing actions in China against us or our management based on foreign laws.”</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China. The PRC government has significant authority to exert influence on the ability of a China-based company, such as us, to conduct its business and accept foreign investments. For example, we face risks associated with regulatory approvals on offshore securities offerings, oversight on cybersecurity and data privacy. The PRC government has recently published new policies that significantly affected various industries, and we cannot rule out the possibility that it will in the future further release regulations or policies regarding our industry that could adversely affect our business, financial condition and results of operations. For a detailed description of risks relating to doing business in China, see “Item 3. Key Information—3.D. Risk Factors—Risks Relating to Doing Business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Historically, we, through the Beijing WFOE, entered into a series of contractual arrangements with the Former VIE as well as its shareholders so that we could hold certain foreign restricted licenses and permits, such as the internet content provider license (the “ICP license”), through the Former VIE. Though the Former VIE has not been an entity in which we own equity interests or through which we operate business, its financial results had been consolidated into our consolidated financial statements for the years ended or as of December 31, 2021, 2022 and 2023 for accounting purposes. See “Item 4. Information on the Company—4.C. Organizational Structure— Former Contractual Arrangements with the Former VIE and Its Nominee Shareholders” for details on these contractual arrangements.</w:t>
      </w:r>
    </w:p>
    <w:p>
      <w:pPr>
        <w:spacing w:after="0" w:line="16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Due to the termination, the financial results of the Former VIE will no longer be consolidated into our consolidated financial statements for accounting purpose since the date of termination. Historically, the financial contribution of such Former VIE was not material to the Group. In 2021, 2022, and 2023, the Former VIE did not contribute any external revenues to our total revenues. As of December 31, 2022 and 2023, total assets of the Former VIE, excluding amounts due from other companies in the Group, equaled to nil and nil percent of our consolidated total assets as of the same date, respectively.</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48260</wp:posOffset>
            </wp:positionV>
            <wp:extent cx="5855970" cy="2246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597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81915</wp:posOffset>
            </wp:positionV>
            <wp:extent cx="6057900" cy="2011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57900" cy="201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AND RISK FACTORS SUMMARY</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 You should not rely upon forward-looking statements as predictions of future events.</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67" w:lineRule="exact"/>
        <w:rPr>
          <w:sz w:val="20"/>
          <w:szCs w:val="20"/>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vision, strengths and growth strategies;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and governmental proceedings, investigations and information requests against us;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settlement of contingent liabilities pursuant to litigations filed or threatened to be filed against us;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of our financial obligations;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 in China and globally;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and the summary of the risk factors below in conjunction with the risk factors disclosed in “Item 3. Key Information—3.D. Risk Factors.”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We do not undertake any obligation to update or revise the forward-looking statements, whether as a result of new information, future events or otherwise,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Important factors that could cause actual future results to differ materially from our expectations include, among others, the following:</w:t>
      </w:r>
    </w:p>
    <w:p>
      <w:pPr>
        <w:spacing w:after="0" w:line="229" w:lineRule="exact"/>
        <w:rPr>
          <w:sz w:val="20"/>
          <w:szCs w:val="20"/>
          <w:color w:val="auto"/>
        </w:rPr>
      </w:pPr>
    </w:p>
    <w:p>
      <w:pPr>
        <w:ind w:left="660" w:hanging="309"/>
        <w:spacing w:after="0" w:line="27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members of our management in assuming their roles and the ability of the management team to implement and achieve our strategies and goals as they develop;</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members of our board of directors in assuming their roles;</w:t>
      </w:r>
    </w:p>
    <w:p>
      <w:pPr>
        <w:spacing w:after="0" w:line="217" w:lineRule="exact"/>
        <w:rPr>
          <w:rFonts w:ascii="Times New Roman" w:cs="Times New Roman" w:eastAsia="Times New Roman" w:hAnsi="Times New Roman"/>
          <w:sz w:val="18"/>
          <w:szCs w:val="18"/>
          <w:color w:val="auto"/>
        </w:rPr>
      </w:pPr>
    </w:p>
    <w:p>
      <w:pPr>
        <w:jc w:val="both"/>
        <w:ind w:left="660" w:hanging="309"/>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timing and outcome of legal and governmental proceedings, investigations and information requests relating to, among other matters, our disclosure and accounting practices, including the impact of our settlement with the SEC, pending and ongoing investigations by the U.S. and PRC authorities, a number of pending litigations and other investigations or proceedings that are ongoing or may be initiated;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60" w:hanging="3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measures implemented to improve the overall effectiveness of our internal control system;</w:t>
      </w:r>
    </w:p>
    <w:p>
      <w:pPr>
        <w:spacing w:after="0" w:line="217" w:lineRule="exact"/>
        <w:rPr>
          <w:rFonts w:ascii="Times New Roman" w:cs="Times New Roman" w:eastAsia="Times New Roman" w:hAnsi="Times New Roman"/>
          <w:sz w:val="18"/>
          <w:szCs w:val="18"/>
          <w:color w:val="auto"/>
        </w:rPr>
      </w:pPr>
    </w:p>
    <w:p>
      <w:pPr>
        <w:jc w:val="both"/>
        <w:ind w:left="660" w:hanging="309"/>
        <w:spacing w:after="0" w:line="25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litigation and regulatory investigations (and any costs, expenses, use of resources, diversion of management time and efforts, liability and damages that may result therefrom), negative publicity and reputational harm on us, products and business that may result from public scrutiny of our business, disclosure and accounting practices;</w:t>
      </w:r>
    </w:p>
    <w:p>
      <w:pPr>
        <w:spacing w:after="0" w:line="17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restructuring of our financial obligations;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changes and developments in the international geopolitical environment;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changes and developments in regulatory policies in China and the United States.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we are faced with other risks and uncertainties, any of which could have a material adverse effect on our business, financial condition, results of operations and prospects. In particular, as we are a China-based company incorporated in the Cayman Islands, you should pay special attention to subsections headed “Item 3. Key Information—3.D. Risk Factors—Risks Relating to Doing Business in China” and “Item 3. Key Information—3.D. Risk Factors—Risks Relating to Our Corporate Structure.”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principal risks we face is set forth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the Fabricated Transactions, Internal Investigation, Internal Control, Offshore Restructuring and Related Matters</w:t>
      </w:r>
    </w:p>
    <w:p>
      <w:pPr>
        <w:spacing w:after="0" w:line="217" w:lineRule="exact"/>
        <w:rPr>
          <w:sz w:val="20"/>
          <w:szCs w:val="20"/>
          <w:color w:val="auto"/>
        </w:rPr>
      </w:pPr>
    </w:p>
    <w:p>
      <w:pPr>
        <w:jc w:val="both"/>
        <w:ind w:left="660" w:right="20" w:hanging="309"/>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76"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Business and Industry</w:t>
      </w:r>
    </w:p>
    <w:p>
      <w:pPr>
        <w:spacing w:after="0" w:line="217" w:lineRule="exact"/>
        <w:rPr>
          <w:sz w:val="20"/>
          <w:szCs w:val="20"/>
          <w:color w:val="auto"/>
        </w:rPr>
      </w:pPr>
    </w:p>
    <w:p>
      <w:pPr>
        <w:ind w:left="660" w:hanging="309"/>
        <w:spacing w:after="0" w:line="27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acquire new customers or retain existing customers in a cost-effective manner, our business, financial condition and results of operations may be materially and adversely affected.</w:t>
      </w:r>
    </w:p>
    <w:p>
      <w:pPr>
        <w:spacing w:after="0" w:line="159"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72" w:lineRule="exact"/>
        <w:rPr>
          <w:rFonts w:ascii="Times New Roman" w:cs="Times New Roman" w:eastAsia="Times New Roman" w:hAnsi="Times New Roman"/>
          <w:sz w:val="18"/>
          <w:szCs w:val="18"/>
          <w:color w:val="auto"/>
        </w:rPr>
      </w:pPr>
    </w:p>
    <w:p>
      <w:pPr>
        <w:ind w:left="660" w:right="20" w:hanging="309"/>
        <w:spacing w:after="0" w:line="27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success depends on the continuing efforts of our key management and experienced and capable personnel as well as our ability to recruit new talent. If we fail to hire, train, retain or motivate our staff, our business may suffer.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left="660" w:hanging="309"/>
        <w:spacing w:after="0" w:line="27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maintain the quality and safety of our products could have a material and adverse effect on our reputation, financial condition and results of operations.</w:t>
      </w:r>
    </w:p>
    <w:p>
      <w:pPr>
        <w:spacing w:after="0" w:line="159" w:lineRule="exact"/>
        <w:rPr>
          <w:rFonts w:ascii="Times New Roman" w:cs="Times New Roman" w:eastAsia="Times New Roman" w:hAnsi="Times New Roman"/>
          <w:sz w:val="18"/>
          <w:szCs w:val="18"/>
          <w:color w:val="auto"/>
        </w:rPr>
      </w:pPr>
    </w:p>
    <w:p>
      <w:pPr>
        <w:jc w:val="both"/>
        <w:ind w:left="660" w:right="20" w:hanging="309"/>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72" w:lineRule="exact"/>
        <w:rPr>
          <w:rFonts w:ascii="Times New Roman" w:cs="Times New Roman" w:eastAsia="Times New Roman" w:hAnsi="Times New Roman"/>
          <w:sz w:val="18"/>
          <w:szCs w:val="18"/>
          <w:color w:val="auto"/>
        </w:rPr>
      </w:pPr>
    </w:p>
    <w:p>
      <w:pPr>
        <w:ind w:left="660" w:right="20" w:hanging="309"/>
        <w:spacing w:after="0" w:line="27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significant interruption in the operations of our third-party suppliers, retail partners and service providers could potentially disrupt our operations</w:t>
      </w:r>
    </w:p>
    <w:p>
      <w:pPr>
        <w:spacing w:after="0" w:line="159" w:lineRule="exact"/>
        <w:rPr>
          <w:rFonts w:ascii="Times New Roman" w:cs="Times New Roman" w:eastAsia="Times New Roman" w:hAnsi="Times New Roman"/>
          <w:sz w:val="18"/>
          <w:szCs w:val="18"/>
          <w:color w:val="auto"/>
        </w:rPr>
      </w:pPr>
    </w:p>
    <w:p>
      <w:pPr>
        <w:jc w:val="both"/>
        <w:ind w:left="660" w:hanging="309"/>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Corporate Structure</w:t>
      </w:r>
    </w:p>
    <w:p>
      <w:pPr>
        <w:spacing w:after="0" w:line="217" w:lineRule="exact"/>
        <w:rPr>
          <w:sz w:val="20"/>
          <w:szCs w:val="20"/>
          <w:color w:val="auto"/>
        </w:rPr>
      </w:pPr>
    </w:p>
    <w:p>
      <w:pPr>
        <w:ind w:left="660" w:hanging="309"/>
        <w:spacing w:after="0" w:line="27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59" w:lineRule="exact"/>
        <w:rPr>
          <w:rFonts w:ascii="Times New Roman" w:cs="Times New Roman" w:eastAsia="Times New Roman" w:hAnsi="Times New Roman"/>
          <w:sz w:val="18"/>
          <w:szCs w:val="18"/>
          <w:color w:val="auto"/>
        </w:rPr>
      </w:pPr>
    </w:p>
    <w:p>
      <w:pPr>
        <w:ind w:left="660" w:right="20" w:hanging="309"/>
        <w:spacing w:after="0" w:line="27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face difficulties in protecting your interests, and your ability to protect your rights through U.S. courts may be limited because we are incorporated under Cayman Islands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Doing Business in China</w:t>
      </w:r>
    </w:p>
    <w:p>
      <w:pPr>
        <w:spacing w:after="0" w:line="217" w:lineRule="exact"/>
        <w:rPr>
          <w:sz w:val="20"/>
          <w:szCs w:val="20"/>
          <w:color w:val="auto"/>
        </w:rPr>
      </w:pPr>
    </w:p>
    <w:p>
      <w:pPr>
        <w:jc w:val="both"/>
        <w:ind w:left="660" w:hanging="309"/>
        <w:spacing w:after="0" w:line="25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or hinder our ability to offer or continue to offer securities to investors. In such events, our Ordinary Shares and ADSs could decline in value or become worthless. For details, see pages 43 and 44 of this annual report.</w:t>
      </w:r>
    </w:p>
    <w:p>
      <w:pPr>
        <w:spacing w:after="0" w:line="185"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laws, regulations and policies in China and uncertainties with respect to the PRC legal system could adversely affect us. Rules and regulations in China can change quickly with little advance notice. For details, see pages 44 and 45 of this annual report.</w:t>
      </w:r>
    </w:p>
    <w:p>
      <w:pPr>
        <w:spacing w:after="0" w:line="172" w:lineRule="exact"/>
        <w:rPr>
          <w:rFonts w:ascii="Times New Roman" w:cs="Times New Roman" w:eastAsia="Times New Roman" w:hAnsi="Times New Roman"/>
          <w:sz w:val="18"/>
          <w:szCs w:val="18"/>
          <w:color w:val="auto"/>
        </w:rPr>
      </w:pPr>
    </w:p>
    <w:p>
      <w:pPr>
        <w:ind w:left="660" w:right="20" w:hanging="309"/>
        <w:spacing w:after="0" w:line="27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PCAOB is prevented from fully evaluating audits and quality control procedures of our auditor, investors may be deprived of the benefits of such PCAOB inspections. For details, see page 45 of this annual report.</w:t>
      </w:r>
    </w:p>
    <w:p>
      <w:pPr>
        <w:spacing w:after="0" w:line="159" w:lineRule="exact"/>
        <w:rPr>
          <w:rFonts w:ascii="Times New Roman" w:cs="Times New Roman" w:eastAsia="Times New Roman" w:hAnsi="Times New Roman"/>
          <w:sz w:val="18"/>
          <w:szCs w:val="18"/>
          <w:color w:val="auto"/>
        </w:rPr>
      </w:pPr>
    </w:p>
    <w:p>
      <w:pPr>
        <w:jc w:val="both"/>
        <w:ind w:left="660" w:hanging="309"/>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 For details, see pages 45 and 46 of this annual report.</w:t>
      </w:r>
    </w:p>
    <w:p>
      <w:pPr>
        <w:spacing w:after="0" w:line="181"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Various legislative and regulatory developments related to U.S.-listed China-based companies and other developments due to political tensions between the United States and China may have a material adverse impact on our listing and trading in the United States and the trading prices of our ADSs. For details, see pages 46 and 47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left="660" w:hanging="309"/>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in our business in the PRC may not be available to fund operations or for other use outside of the PRC due to interventions in or the imposition of restrictions and limitations by the PRC government to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For details, see pages 47 and 48 of this annual report.</w:t>
      </w:r>
    </w:p>
    <w:p>
      <w:pPr>
        <w:spacing w:after="0" w:line="186" w:lineRule="exact"/>
        <w:rPr>
          <w:rFonts w:ascii="Times New Roman" w:cs="Times New Roman" w:eastAsia="Times New Roman" w:hAnsi="Times New Roman"/>
          <w:sz w:val="18"/>
          <w:szCs w:val="18"/>
          <w:color w:val="auto"/>
        </w:rPr>
      </w:pPr>
    </w:p>
    <w:p>
      <w:pPr>
        <w:jc w:val="both"/>
        <w:ind w:left="660" w:hanging="309"/>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For details, see pages 48, 49 and 50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the ADSs</w:t>
      </w:r>
    </w:p>
    <w:p>
      <w:pPr>
        <w:spacing w:after="0" w:line="217" w:lineRule="exact"/>
        <w:rPr>
          <w:sz w:val="20"/>
          <w:szCs w:val="20"/>
          <w:color w:val="auto"/>
        </w:rPr>
      </w:pPr>
    </w:p>
    <w:p>
      <w:pPr>
        <w:jc w:val="both"/>
        <w:ind w:left="660" w:hanging="309"/>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72"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trading price of the ADSs has been and may continue to be volatile, which could result in substantial losses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Investors in the ADSs are not purchasing equity securities of our subsidiaries that have substantive business operations in China, but instead are purchasing equity securities of a Cayman Islands holding company, which primarily operates its business in China through its PRC subsidiaries. Our corporate structure involves unique risks to investors in the ADSs. See “—3.D. Risk Factor—Risks Relating to Our Corporate Structure” for a detailed discussion.</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Historically, we, through the Beijing WFOE, entered into a series of contractual arrangements with the Former VIE as well as its shareholders so that we can hold certain foreign restricted licenses and permits, such as the ICP license, through the Former VIE. Though the Former VIE has not been an entity in which we own equity interests or through which we operate business, its financial results had been consolidated into our consolidated financial statements for the years ended or as of December 31, 2021, 2022 and 2023 for accounting purposes. See “Item 4. Information on the Company—4.C. Organizational Structure—Former Contractual Arrangements with the Former VIE and Its Nominee Shareholders” for details on these contractual arrangements.</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Due to the termination, the financial results of the Former VIE will no longer be consolidated into our consolidated financial statements for accounting purpose since the date of termination. Historically, the financial contribution of such Former VIE was not material to the Group. In 2021, 2022, and 2023, the Former VIE did not contribute any external revenues to our total revenues. As of December 31, 2022 and 2023, total assets of the Former VIE, excluding amounts due from other companies in the Group, equaled to nil and nil of our consolidated total assets as of the same date, respectively. For the condensed consolidating schedule that disaggregates the parent company, the Former VIE and its consolidated subsidiaries for Luckin Coffee Inc. for 2021, 2022 and 2023, see “Item 5. Operating and Financial Review and Prospects—5.B. Liquidity and Capital Resources—Holding Company Structure—Condensed Consolidating Schedule.”</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used in this annual report, “we,” “us,” “our company,” “our,” “Group” or “Luckin” refers to Luckin Coffee Inc. and its subsidiaries, and, in the context of describing Luckin Coffee Inc.’s consolidated financial information for the years ended or as of December 31, 2021, 2022 and 2023, also its Former VIE.</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PRC subsidiaries refer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and their respective subsidiaries in the context of describing their activities. The former variable interest entity or the Former VIE refers to Beijing Luckin Coffee Technology Ltd. in the context of describing its activities and the former contractual arrangements with us.</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Changes in China’s economic, political or social conditions or government policies could have a material adverse effect on our business and operations. We could be adversely affected by uncertainties with respect to the PRC legal system. Rules and regulations in China can change quickly with little advance notice. In addition, the interpretation and enforcement of PRC laws and regulations involve additional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See “Item 4. Information on the Company – 4.A. History and Development of the Company – 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9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PRC government may also intervene with or influence our operations as it deems appropriate to further regulatory, political and societal goals.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We also face risks associated with the Holding Foreign Companies Accountable Act, or the HFCA Act, which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having filed audit reports issued by a registered public accounting firm that cannot be inspected or investigated completed by the PCAOB, or as a “Commission-Identified Issuer”, in connection with our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Whether the PCAOB will continue to be able to satisfactorily conduct inspections of PCAOB-registered public accounting firms headquartered in mainland China and Hong Kong in the future is subject to uncertainty and depends on a number of factors out of our, and our auditor’s, control, including the uncertainties surrounding the relationship between China and the United States.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For details, see “—3.D. Risk Factors—Risks Relating to Doing Business in China—Trading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20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Investors in our securities should note that to the extent cash in our business is in the PRC or a PRC entity, the funds may not be available to fund operations or for other use outside of the PRC due to interventions in or the imposition of restrictions and limitations on the ability of Luckin Coffee Inc. or its subsidiaries by the PRC government to transfer cash. Our PRC subsidiaries are permitted to pay dividends to their shareholders, and eventually to Luckin Coffee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holders of our securities. For example, our PRC subsidiaries are required to make appropriations to certain statutory reserve funds or may make appropriations to certain discretionary funds, which are not distributable as cash dividends except in the event of a solvent liquidation of the companies. For details about the applicable PRC regulations and rules relating to such cash transfers through our Group and the associated risks, see “— Risks Relating to Doing Business in China—Cash in our business in the PRC may not be available to fund operations or for other use outside of the PRC due to interventions in or the imposition of restrictions and limitations by the PRC government to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“—Risks Relating to Doing Business in China—Governmental control of currency conversion may limit our ability to utilize our revenues effectively and affect the value of your investment,” and “Item 4. Information on the Company—4.A. History and Development of the Company—Recent Regulatory Development—Restrictions on Foreign Exchange and the Ability to Transfer Cash between Entities, Across Borders and to U.S. Investors.”</w:t>
      </w:r>
    </w:p>
    <w:p>
      <w:pPr>
        <w:spacing w:after="0" w:line="19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Luckin Coffee Inc. has not previously declared or paid any cash dividend or dividend in kind, and has no plan to declare or pay any dividends in the near future on its Shares or the ADSs. We currently intend to retain most, if not all, of our available funds and any future earnings to operate and expand our business. None of our PRC subsidiaries has issued any dividends or distributions to their respective parent companies, including Luckin Coffee Inc., or to any investors as of the date of this annual report. Our subsidiaries in the PRC currently retain cash generated from their operating activities and re-invest it in our business operations. In the future, our ability to pay dividends, if any, to our shareholders and ADS holders and to service any debt we may incur will depend upon dividends and other distributions paid by our PRC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accordance with the applicable PRC laws and regulations, the funds can be transferred between Luckin Coffee Inc., our PRC subsidiaries and the investors. Cash is transferred among (a) the holding company, namely Luckin Coffee Inc., (b) our BVI subsidiaries, namely Luckin Coffee Investment Inc. and Luckin Coffee International Holdings Inc., (c) our Hong Kong subsidiaries, namely Luckin Coffee (Hong Kong) Limited (“Luckin HK”), Luckin Coffee Roasting (Hong Kong) Limited, Luckin Coffee Roastery (Hong Kong) Limited and Luckin Coffee Trading (Hong Kong) Limited, and (d) the PRC subsidiaries, which are wholly owned by the Hong Kong subsidiaries, in the following manner: (i) funds are transferred to the PRC subsidiaries, from the Company as needed through our BVI subsidiaries and Hong Kong subsidiaries in the form of capital contributions or shareholder loans, as the case may be; and (ii) dividends or other distributions may be paid by the PRC subsidiaries to Luckin Coffee Inc. through our Hong Kong subsidiaries and our BVI subsidiaries.</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2023, Luckin Coffee Inc. made cumulative capital contributions of US$1,803.8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shareholder loans, as the case may be. Luckin Group then will transfer funds to its subsidiaries to meet the capital needs of our business operations. In addition, as of December 31, 2023, Luckin Coffee Inc. also made cumulative cash transfers of US$1.98 million, through its intermediate holding company, to Luckin Coffee Trading (Hong Kong) Limited and Luckin Coffee (SGP) Pte.Ltd.</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3.A.</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3.B.</w:t>
      </w:r>
      <w:r>
        <w:rPr>
          <w:sz w:val="20"/>
          <w:szCs w:val="20"/>
          <w:color w:val="auto"/>
        </w:rPr>
        <w:tab/>
      </w:r>
      <w:r>
        <w:rPr>
          <w:rFonts w:ascii="Times New Roman" w:cs="Times New Roman" w:eastAsia="Times New Roman" w:hAnsi="Times New Roman"/>
          <w:sz w:val="17"/>
          <w:szCs w:val="17"/>
          <w:b w:val="1"/>
          <w:bCs w:val="1"/>
          <w:color w:val="auto"/>
        </w:rPr>
        <w:t>Capitalization and Indebtedness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3.C.</w:t>
      </w:r>
      <w:r>
        <w:rPr>
          <w:sz w:val="20"/>
          <w:szCs w:val="20"/>
          <w:color w:val="auto"/>
        </w:rPr>
        <w:tab/>
      </w:r>
      <w:r>
        <w:rPr>
          <w:rFonts w:ascii="Times New Roman" w:cs="Times New Roman" w:eastAsia="Times New Roman" w:hAnsi="Times New Roman"/>
          <w:sz w:val="17"/>
          <w:szCs w:val="17"/>
          <w:b w:val="1"/>
          <w:bCs w:val="1"/>
          <w:color w:val="auto"/>
        </w:rPr>
        <w:t>Reasons for the Offer and Use of Proceeds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3.D.</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Risks Relating to the Fabricated Transactions, Internal Investigation, Internal Control, Offshore Restructuring and Related Matters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Fabricated Transactions (defined below)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March 2020, our board of directors (the “Board”) formed a special committee (the “Special Committee”) to oversee an internal investigation (the “Internal Investigation”) into certain issues raised to the Board’s attention during the audit of our consolidated financial statements for the fiscal year ended December 31, 2019. In April 2020, the Special Committee brought to the Board’s attention that certain management and employees reporting to them had engaged in misconduct, including fabricating certain transactions. On July 1, 2020, we announced that the Special Committee had substantially completed the Internal Investigation and found that the fabrication of transactions by certain management and employees reporting to them (the “Fabricated Transactions”) began in April 2019 and that, as a result, our net revenue in 2019 was inflated by approximately RMB2.12 billion (US$0.31 billion), and our costs and expenses were inflated by approximately RMB1.34 billion (US$0.2 billion).</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Fabricated Transactions had and could continue to have material adverse impacts on us. We were or are the subject of a number of legal proceedings, investigations and inquiries with respect to the Fabricated Transactions and have been named as a defendant in a number of lawsuits, including class action lawsuits. We incurred significant costs in connection with the Internal Investigation, including legal expenses and costs associated with the restatement and adjustment of our financial statements for the second and third quarters in 2019. We may also incur material costs associated with our indemnification arrangements with our current and former directors and certain of our officers, as well as other indemnitees.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Moreover, an unfavorable outcome in any of these matters could result in significant damages, additional penalties or other remedies imposed against us, and/or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Fabricated Transactions also led to material adverse impacts on our operations, our reputation and our relationships with business partners, as well as material adverse impacts on our financial position, including incurred costs and expenses and our ability to raise new capital in the future. Further, our senior management team is expected to continue to devote significant time and efforts to address the impacts associated with or arising from the Fabricated Transactions.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cannot predict all impacts on us in connection with or arising from the Fabricated Transactions. Any unknown or new risks may result in a material adverse effect on us.</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5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were, have been or are currently the subject of a number of legal proceedings and investigations and inquiries by governmental agencies in various jurisdictions, including the investigations by the SEC and the U.S. Department of Justice (the “DOJ”) relating to the Fabricated Transactions, the lawsuits relating to the default under the terms of the convertible senior notes indenture offered on January 10, 2020, penalty decisions from the Chinese State Administration for Market Regulation and certain of its sub-bureaus (collectively, the “SAMR”) relating to the Fabricated Transactions, the investigation by the Ministry of Finance of the PRC and other regulatory and court proceedings and investigations. On September 23, 2020, we received penalty decisions from the SAMR, which found that our conduct related to the Fabricated Transactions violated the PRC Anti-Unfair Competition Laws. On December 16, 2020, we entered into a settlement with the SEC regarding the Fabricated Transactions, under which we were subject to payment of penalties and are enjoined from violation of certain federal securities laws. Entering into the settlement with the SEC also results in the loss of certain exemptions or protections that were available to us under federal securities laws. On February 4, 2021, the United States District Court for the Southern District of New York (the “SDNY Court”) approved the SEC settlement. On February 3, 2022, the SEC filed with the SDNY Court a notice acknowledging that the Company has satisfied the civil penalties arising from the SEC settlement. See “Item 8. Financial Information— 8.A. Consolidated Statements and Other Financial Information—Legal Proceedings.”</w:t>
      </w:r>
    </w:p>
    <w:p>
      <w:pPr>
        <w:spacing w:after="0" w:line="1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Moreover, we have corrected our VAT filing to the PRC tax authorities for rectifying the revenues and VAT payable recognized in relation to the Fabricated Transactions, and in 2022, a fine of RMB500,000 was imposed to us by the PRC tax authorities. However, we are uncertain whether such correction in the previous VAT filing and the fine imposed will fully resolve the matter to the satisfaction of the PRC tax authorities. If the PRC tax authorities do not accept such correction, we may be required to pay corresponding VAT tax for the Fabricated Transactions. In addition, the PRC tax authorities may confiscate the illegal income, and we may be subject to additional fines up to RMB500,000 per implicated entity. We may also be subject to criminal penalties if such violations are deemed to constitute criminal offense.</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unable to predict how long the ongoing proceedings, investigations and inquiries will continue, and we may continue to incur significant costs in connection with these matters and that these proceedings, investigations and inquiries may result in diversion of management’s time, regardless of the outcome. These proceedings, investigations and inquiries may result in damages, fines, penalties, consent orders or other administrative sanctions against us and/or certain of our officers, or in changes to our business practices, among others. In addition, there might be proceedings, investigations and inquiries with respect to the Fabricated Transactions that are unknown to us or that might be initiated in the future, which could have a material adverse effect on us.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Publicity surrounding these proceedings, investigations and inquiries or any enforcement action as a result thereof, even if ultimately resolved favorably for us, coupled with the intensified public scrutiny of us and certain of our practices, could result in additional investigations and legal proceedings. Moreover, the matters that led to our Internal Investigation and our financial restatement for the second and third quarters in 2019 have exposed us to increased risks of regulatory proceedings and government enforcement actions. As a result, these proceedings, investigations and inquiries could have a material adverse effect on our reputation, business, financial condition, including our ability to raise new capital, cash flows and results of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been named as a defendant in a number of lawsuits filed by purchasers of our securities, including class action lawsuits and will, absent any negotiated settlement, have to defend against such suits, including any appeals of such suits should our initial defenses be unsuccessful. In the event that our initial defenses of these suits are unsuccessful, there can be no assurance that we will prevail in any appeal.</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are aware that certain persons and entities (and their beneficiaries) who purchased or otherwise acquired the Company’s ADSs have filed a series of lawsuits alleging that the Company (and others) violated United States securities law. The Company considers the claims asserted in these lawsuits as contingent liabilities as the Company’s liability has not yet been established by the relevant courts, except for the settlements reached as described in this annual report.</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July 22, 2022, we received final approval of a class action settlement from the United States District Court for the Southern District of New York (the “Federal Class Settlement”) in </w:t>
      </w:r>
      <w:r>
        <w:rPr>
          <w:rFonts w:ascii="Times New Roman" w:cs="Times New Roman" w:eastAsia="Times New Roman" w:hAnsi="Times New Roman"/>
          <w:sz w:val="18"/>
          <w:szCs w:val="18"/>
          <w:i w:val="1"/>
          <w:iCs w:val="1"/>
          <w:color w:val="auto"/>
        </w:rPr>
        <w:t>In re Luckin Coffee Inc. Securities Litigation</w:t>
      </w:r>
      <w:r>
        <w:rPr>
          <w:rFonts w:ascii="Times New Roman" w:cs="Times New Roman" w:eastAsia="Times New Roman" w:hAnsi="Times New Roman"/>
          <w:sz w:val="18"/>
          <w:szCs w:val="18"/>
          <w:color w:val="auto"/>
        </w:rPr>
        <w:t>, Case No.1:20-cv-01293-JPC-JLC (SDNY). The Federal Class Settlement fully resolved all claims that have been or could be filed on behalf of a class of purchasers Company’s ADS between May 17, 2019 through July 15, 2020, inclusive. The amount of the Federal Class Settlement is $175 million. However, the Company expects to expend additional amounts to resolve claims of investors who submitted valid opt-out notices to exclude themselves from the Federal Class Settlement. The Company was also named as a defendant in a number of lawsuits filed by investors who opted-out of the Federal Class Settlement, alleging violations of U.S. securities laws. Those lawsuits have been dismissed.</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On April 28, 2023, we received final approval of a class action settlement from the Commercial Division of the Supreme Court of the State of New York (the “State Class Settlement”) in </w:t>
      </w:r>
      <w:r>
        <w:rPr>
          <w:rFonts w:ascii="Times New Roman" w:cs="Times New Roman" w:eastAsia="Times New Roman" w:hAnsi="Times New Roman"/>
          <w:sz w:val="18"/>
          <w:szCs w:val="18"/>
          <w:i w:val="1"/>
          <w:iCs w:val="1"/>
          <w:color w:val="auto"/>
        </w:rPr>
        <w:t>In re Luckin Coffee Inc. Securities Litigation</w:t>
      </w:r>
      <w:r>
        <w:rPr>
          <w:rFonts w:ascii="Times New Roman" w:cs="Times New Roman" w:eastAsia="Times New Roman" w:hAnsi="Times New Roman"/>
          <w:sz w:val="18"/>
          <w:szCs w:val="18"/>
          <w:color w:val="auto"/>
        </w:rPr>
        <w:t>, Index No. 651939/2020 (Sup. Ct. N.Y. Cty.) (the “State Class Action”). The State Class Settlement fully resolved claims that have been or could be filed on behalf of a class of purchasers of the Notes who did not release their claims in connection with the Scheme.</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certain individuals and institutions, who have submitted opt-out notices, claim to have made investments relating to the Company’s ADS and have made informal demands for the Company to pay alleged losses resulting from the Fabricated Transactions disclosed on April 2, 2020.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8. Financial Information—8.A. Consolidated Statements and Other Financial Information—Legal Proceedings” for further details of the lawsuits filed against us and settlements reached.</w:t>
      </w:r>
    </w:p>
    <w:p>
      <w:pPr>
        <w:spacing w:after="0" w:line="16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Fabricated Transactions have exposed us to increased risks of litigation. We and our current and former directors and officers may, in the future, be subject to additional litigation. Subject to certain limitations, we are obligated to indemnify our current and former directors and officers in connection with such lawsuits and any related litigation or settlement amounts. Regardless of the outcome, these lawsuits, and any other litigation that may be brought against us or our current or former directors and officers, could be time-consuming, result in significant expense and divert the attention and resources of our management and other key employees. An unfavorable outcome in any of these matters could result in significant damages, additional penalties or other remedies imposed against us,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been and could continue to be the subject of negative publicity focusing on the Fabricated Transactions and adjustment of our financial statements for the second and third quarters in 2019, and we may be adversely impacted by negative reactions from our customers, suppliers or others with whom we do business. Concerns include the perception of the effort required to address our accounting and internal control environment, and the ability for us to be a long-term provider to our customers. Continued adverse publicity and potential concerns from our customers and business partners or others could harm our business and have an adverse effect on our reputation, financial condition and results of operations.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delisting of our ADSs from Nasdaq may continue to have a material adverse effect on the trading and price of our ADSs, and we cannot assure you that our ADSs will be relisted, or that once relisted, they will remain listed.</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1, 2020, we were delisted from Nasdaq when the staff of the Nasdaq Stock Market LLC filed a Form 25 Notification of Delisting. The delisting of our ADSs from Nasdaq has had and may continue to have a material adverse effect on us by, among other things, causing investors to dispose of our ADSs and limiting:</w:t>
      </w:r>
    </w:p>
    <w:p>
      <w:pPr>
        <w:spacing w:after="0" w:line="178" w:lineRule="exact"/>
        <w:rPr>
          <w:sz w:val="20"/>
          <w:szCs w:val="20"/>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ADSs;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ADSs;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other investors that will consider investing in our ADSs;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ADSs;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our ADSs;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equity or debt financing for the continuation of our operations.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lack of an active trading market may limit the liquidity of an investment in our ADSs, meaning you may not be able to sell our ADSs you own at times, or at prices, attractive to you. Any of these factors may materially and adversely affect the price of our ADSs.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completed an offshore restructuring of the Company’s indebtedness, including a restructuring of indebtedness to bondholders and settlement of certain of our contingent liabilities, yet we remain subject to pending and potential future lawsuits with respect to the Fabricated Transactions.</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July 15, 2020, the Cayman Court appointed Alexander Lawson of Alvarez &amp; Marsal Cayman Islands Limited and Wing Sze Tiffany Wong of Alvarez &amp; Marsal Asia Limited to act as “light-touch” Joint Provisional Liquidators of the Company (the “JPLs”) on the application of the Company in response to the presentation of a winding-up petition by a creditor of the Company in the Cayman Court. During the provisional liquidation, we operated our business under the day-to-day control of the Board, under the supervision of the JPLs, in accordance with a protocol executed on October 16, 2020. By order of the Cayman Court dated February 25, 2022, the petition was dismissed, and the JPLs were formally discharged with effect from March 4, 2022, bringing the provisional liquidation and the liquidation proceedings generally to a close. On August 26, 2022, we announced the redemption in full of the US$109.9 million of 9.00% series B senior secured notes due 2027 (the “New Notes” or “Series B Senior Secured Notes”) that we issued as a part of our offshore restructuring, which were our only offshore debt securities. See “Item 4.A. History and Development of the Company” for details of our offshore restructuring. However, we remain subject to pending and potential future lawsuits with respect to the Fabricated Transactions, and there may also be more lawsuits filed against us in the future. Failure to settle these lawsuits or other unfavorable outcomes in these proceedings could result in significant damages, additional penalties or other remedies imposed against us, our current or former directors or officers, which could harm our reputation, business, financial condition, results of operations or cash flows.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we are subject to the Sarbanes-Oxley Act of 2002. Section 404 of the Sarbanes-Oxley Act (“Section 404”), requires that we include a report from management on the effectiveness of our internal control over financial reporting in our annual report on Form 20-F. In 2023, our management, with the participation of our chief executive officer and chief financial officer, conducted an evaluation of the effectiveness of our company’s internal control over financial reporting as of December 31, 2023. Based on this evaluation, we concluded that internal control was effective as of December 31, 2023. In addition, our independent registered public accounting firm must attest to and report on the effectiveness of our internal control over financial reporting. Our independent registered public accounting firm has issued an attestation report, which has concluded that as of December 31, 2023, our internal control over financial reporting was effective.</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Even though we did not note or identify any deficiencies that we believe to be material weaknesses as of December 31, 2023,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w:t>
      </w:r>
    </w:p>
    <w:p>
      <w:pPr>
        <w:spacing w:after="0" w:line="18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delinquent in our periodic reporting obligations, the broker-dealers will not be able to publish quotations for our ADSs on the OTC market.</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ability to maintain a timely filing schedule with respect to our SEC reporting obligations is subject to a number of contingencies, including whether we can maintain the effectiveness of our internal control over financial reporting. We cannot assure you that we will be able to timely make our future filings.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case we delay our filings, investors may need to evaluate certain decisions with respect to our ADSs in light of our lack of current financial information. In addition, the SEC adopted amendments to the Exchange Act Rule 15c2-11 in September 2020 that enhanced disclosure and investor protection in the OTC market by ensuring that broker-dealers do not publish quotations for an issuer’s security when current issuer information is not publicly available, subject to certain exceptions. Therefore, if we are delayed in our filings, the broker-dealers will not be able to publish quotations for our ADSs on the OTC market. In such an event, the trading volume of our ADSs will be negligible, and the trading price may fall sharply as a result.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not be indicative of our future growth or financial results and we may not be able to sustain our historical growth rates.</w:t>
      </w:r>
    </w:p>
    <w:p>
      <w:pPr>
        <w:spacing w:after="0" w:line="16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commenced our operations in October 2017 and have achieved significant growth since our inception. We expanded from a single trial store in Beijing to 10,598 self-operated stores and 5,620 partnership stores in more than 300 cities in China and 30 self-operated stores in Singapore as of December 31, 2023. We had 230.1 million cumulative transacting customers as of December 31, 2023. At the same time, we continue to evaluate our store performance and adjust our business plan accordingly. Our limited operating history may not be indicative of our future growth or financial results. There is no assurance that we will be able to maintain our historical growth rates in future periods. Our growth rates may decline for any number of possible reasons and some of them are beyond our control, including decreasing customer spending, increasing competition, declining growth of China’s coffee industry or China’s food and beverage sector in general, emergence of alternative business models, or changes in government policies or general economic conditions. We will continue to expand our product offerings and may explore new operating models to bring greater convenience to our customers and to increase our customer base and the number of transactions. However, the execution of any new business plans is subject to uncertainty and the total number of items sold and number of transacting customers may not grow at the rate we expect for the reasons stated above. Further, we may bear additional expenses and costs, including the negotiation of adjusted arrangements with suppliers, when we adjust our business plan. If our growth rates decline, investors’ perceptions of our business and prospects may be adversely affected and the trading price of the ADSs could decline. In addition, since our business model is innovative in China’s coffee industry, it may increase the difficulty in evaluating our business and future prospects based on our historical operational or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strategies, our business and prospects may be materially and adversely affected.</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will continue to encounter challenges in implementing our managerial, operating and financial strategies. The major challenges in managing our business growth include, among other things:</w:t>
      </w:r>
    </w:p>
    <w:p>
      <w:pPr>
        <w:spacing w:after="0" w:line="163" w:lineRule="exact"/>
        <w:rPr>
          <w:sz w:val="20"/>
          <w:szCs w:val="20"/>
          <w:color w:val="auto"/>
        </w:rPr>
      </w:pPr>
    </w:p>
    <w:p>
      <w:pPr>
        <w:ind w:left="660" w:hanging="309"/>
        <w:spacing w:after="0" w:line="27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identifying and securing locations for new stores and managing the daily operations of our stores. See “—We may be unsuccessful in operating our stores” for more details;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incurred costs in a competitive environment;</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adjusting our business plan based on our performance and market position as well as successfully launching the adjusted business plan;</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members of the management in assuming their roles and the ability of the management team to implement and achieve our strategies and goals as they develop;</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members of the Board in assuming their roles;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training and retaining a growing workforce to support our operations;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developing and launching successful new products;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upgrading our technology systems in a cost-effective manner;</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supply chain and ensuring our third-party suppliers continue to meet our quality and other standards and satisfy our future operational needs;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variety of new and upgraded internal systems and procedures as our business continues to grow;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full compliance with relevant laws and regulations.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All efforts to address the challenges of our growth require significant managerial, financial and human resources. We cannot assure you that we will be able to execute managerial, operating and financial strategies to keep up with our growth. If we cannot manage our growth or execute our strategies effectively, our growth may slow down and our business and prospects may be materially and adversely affected.</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retain existing customers in a cost-effective manner, our business, financial condition and results of operations may be materially and adversely affected.</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ability to cost-effectively attract new customers and retain existing customers is crucial to driving net revenues growth and achieving profitability. We have invested significantly in branding, sales and marketing to acquire and retain customers since our inception. For example, we offer various discount offers and deals in the form of vouchers and coupons. We also expect to continue to invest significantly to acquire new customers and retain existing ones. There can be no assurance that new customers will stay with us, or the net revenues from new customers we acquire will ultimately exceed the cost of acquiring those customers. In addition, if we reduce or discontinue our current discount offers and deals, if our existing customers no longer find our products appealing, or if our competitors offer more attractive products, prices, discounts or better customer services, our existing customers may lose interest in us, decrease their orders or even stop ordering from us. If we are unable to retain our existing customers or to acquire new customers in a cost-effective manner, our revenues may decrease and our results of operations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operating our stores.</w:t>
      </w:r>
    </w:p>
    <w:p>
      <w:pPr>
        <w:spacing w:after="0" w:line="221" w:lineRule="exact"/>
        <w:rPr>
          <w:sz w:val="20"/>
          <w:szCs w:val="20"/>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of our stores have been and will continue to be subject to a number of factors, including but not limited to:</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the quality of our products and services or to develop and launch new products that meet our customers’ needs;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and attract new customers;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increase the number of items sold to each customer and number of items sold in each store;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pricing strategies;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respond to changes in market opportunities and customer preferences;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third-party suppliers, service providers and strategic partners;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talented employees;</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costs of our operations, such as cost of materials, store rental, labor and other operating costs, and sales and marketing expenses;</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full compliance with relevant laws and regulations, and maintain adequate and effective control, supervision and risk management over our stores; and</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and control the overall operation of our stores.</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Many factors that are out of our control, including the macroeconomic and regulatory environment, could also adversely affect our store operations. In addition, opening new stores near our existing stores may adversely affect the sales of our existing stores. Any of these factors listed above or described elsewhere in this Risk Factors section may render us unsuccessful in profitably operating our stores and could adversely impact our business, financial condition and/or results of operations. We may even have to shut down certain stores if their business, financial condition and operation results are below our expectation.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devoted significant resources to launch and promote new products from time to time to serve broader customer demand, adapt to changes in market trends and shifts in customer taste and preferences, including the introduction of new coffee flavors and non-coffee products. However, we may not be successful in implementing our cross-selling strategy, developing innovative new products, and our new products may not be favored by customers or commercially successful. 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Additionally, the growth of China’s coffee industry is affected by customer tastes, preferences, perceptions and spending patterns. Since we have generated, and expect to continue to generate, a considerable amount of our revenues from the sale of coffee, a shift in customer preferences away from coffee, the changes of spending pattern adversely affecting consumption of coffee, or the decrease or slow growth of coffee consumption in China would harm our business, more than if our revenues were generated from more diversified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additional risks associated with our retail partnership model.</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launched our retail partnership model initiative in September 2019, and opened our first partnership store in October 2019. The retail partnership model has become increasingly important to our business as a whole. Our revenues from partnership stores were RMB1,306.1 million, RMB3,069.3 million, and RMB6,225.8 million (US$876.9 million) in 2021, and 2022, and 2023, which represented 16.4%, 23.1%, and 25.0% of our total revenues, respectively. The retail partnership model may subject us to a number of risks, including but not limited to:</w:t>
      </w:r>
    </w:p>
    <w:p>
      <w:pPr>
        <w:spacing w:after="0" w:line="185" w:lineRule="exact"/>
        <w:rPr>
          <w:sz w:val="20"/>
          <w:szCs w:val="20"/>
          <w:color w:val="auto"/>
        </w:rPr>
      </w:pPr>
    </w:p>
    <w:p>
      <w:pPr>
        <w:ind w:left="660" w:right="20" w:hanging="309"/>
        <w:spacing w:after="0" w:line="27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effectively control retail partners’ actions and their daily store operation, and in case that their actions harm our business, our contractual rights and remedies are limited;</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unsatisfactory service provided by or misconduct of our retail partners may harm the goodwill associated with our brands, and may adversely impact our business and results of operations;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we realize from partnership stores are partly dependent on our retail partners’ ability to grow their sales;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retail partners to comply with local regulatory rules may subject us to losses and harm our reputation;</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partners may not completely fulfill their obligation under the partnership agreement, which may adversely impact our business and results of operations;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quality of retail partners are subject to change over time, which may negatively affect our business; and</w:t>
      </w:r>
    </w:p>
    <w:p>
      <w:pPr>
        <w:spacing w:after="0" w:line="217" w:lineRule="exact"/>
        <w:rPr>
          <w:rFonts w:ascii="Times New Roman" w:cs="Times New Roman" w:eastAsia="Times New Roman" w:hAnsi="Times New Roman"/>
          <w:sz w:val="18"/>
          <w:szCs w:val="18"/>
          <w:color w:val="auto"/>
        </w:rPr>
      </w:pPr>
    </w:p>
    <w:p>
      <w:pPr>
        <w:jc w:val="both"/>
        <w:ind w:left="660" w:hanging="309"/>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retail partners may be subject to a variety of litigation risks, including, but not limited to, customer claims, food safety claims and employee allegations of improper termination. Although we are not directly liable for the costs involved in these types of litigation, each of these claims may increase the costs of our retail partners and adversely affect their profitability, which in turn could adversely affect our business, operating results and brand.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China’s coffee industry and food and beverage sector are intensely competitive. Our products, including our coffee recipes, are not proprietary, and therefore, we are unable to prevent competitors from copying the recipes of our products and sell similar products. We not only compete with a number of coffee shop operators, but also with other businesses, such as convenience stores as well as food and beverages operators with convenient locations. Our competitors may have more financial, technical, marketing and other resources than we do and may be more experienced and able to devote greater resources to the development, promotion and support of their business. Some competitors are well established in China and any defensive measures they take in response to our expansion could hinder our growth and adversely affect our sales and results of operations. In addition, China’s coffee industry is subject to the entry of new and well-funded competitors. For more information related to the competitive landscape of China’s coffee industry, see “Item 4. Information on the Company—4.B. Business Overview—Competition.” Increased competition may reduce our market share and profitability and require us to increase our sales and marketing efforts and capital commitment in the future, which could negatively affect our results of operations or force us to incur further losses. Although we have accumulated a large and growing customer base, there is no assurance that we will be able to continue to do so in the future against current or future competitors, and such competitive pressures may have a material adverse effect on our business, financial condition and results of operations.</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attributable to the Company and we may continue to experience significant operating losses in the future.</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attributable to the Company since our inception in June 2017. For the year ended December 31, 2021, we incurred operating losses of RMB539.1 million, primarily attributable to the expenses in relation to the startup and fast expansion of our business. Although we had operating income of RMB1,156.2 million and RMB3,025.6 million (US$426.1 million), respectively, for the years ended December 31, 2022 and 2023, we may not be able to maintain our profitability in the future.</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intend to invest to further improve our brand awareness, maintain and expand our customer base and store network, continuously launch new product offerings, further strengthen our technological capabilities, enhance and optimize our supply chain management and prudently explore expansion into overseas markets. In addition, our net revenues will be impacted by various factors, including the performances of our stores, level of discounts we offer for different products, competitive landscape, customer preference and macroeconomic and regulatory environment. Therefore, our revenues may not grow at the rate we expect and may not increase sufficiently to offset the increase in our expenses. We may continue to incur losses in the future and we cannot assure you that we will eventually achieve profitability.</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require a significant amount of capital to fund our operations and respond to business opportunities. If we cannot obtain sufficient capital on acceptable terms, our business, financial condition and prospects may be materially and adversely affected.</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Building a well-known brand and accumulating a large and growing customer base are costly and time-consuming. For example, significant and continual investments in sales and marketing are required for further establishing brand awareness among the population in China to attract new customers and retain existing ones. In addition, we invest heavily in our technology systems, which are essential to our expansion and operations. It may take a long period of time to realize returns on such investments, if at all.</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historically funded our cash requirements principally with capital contributions from our shareholders and the proceeds from our public offerings and private placement. If these resources are insufficient to satisfy our cash requirements, we may seek to raise funds through additional equity offerings or debt financings or obtain additional bank facilities. However, our ability to obtain additional capital in the future has been adversely affected by the impacts associated with the Fabricated Transactions and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efforts of our key management and experienced and capable personnel as well as our ability to recruit new talent. If we fail to hire, train, retain or motivate our staff, our business may suffer.</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future success is significantly dependent upon the continued service of our key management as well as experienced and capable personnel generally. If we lose the services of any member of key management or our experienced and capable personnel, we may not be able to locate suitable or qualified replacements, and may incur additional expenses to recruit and train new staff, which could severely disrupt our business and growth. If any of our key management or experienced and capable personnel is poached by and joins a competitor or forms a competing business, we may lose customers, know-how and key professionals and staff members.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talent at all levels. We may need to offer attractive compensation and other benefits packages,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to our supply chain and delivery services would negatively impact our business.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a limited number of suppliers for our raw materials, pre-made food and beverage items, machines, delivery service to our customers and warehouse and fulfillment service. In 2023, we purchased our coffee beans mainly from two suppliers, dairy, including plant-based raw materials such as coconut milk, mainly from five suppliers, syrup mainly from three suppliers and pre-made food and beverage items from a few selected sources, and we also mainly rely on two delivery service providers to provide most of the delivery service to our customers and cooperate with three warehouse and fulfillment service providers for our inventory storage and fulfillments between warehouses and from warehouses to our stores.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Due to our limited number of suppliers, any interruption to the operations of our suppliers, any failure of our suppliers to accommodate our business scale, any termination or suspension of our supply arrangements, any change in cooperation terms, the deterioration of relationships with these suppliers or any disputes with them may materially and adversely affect our results of operations. In addition, our current agreements with our suppliers generally do not prohibit them from working with our competitors. Our competitors may be more effective in providing incentives to our suppliers to prioritize on their orders in case of short supply. We cannot assure you that we would be able to find replacement suppliers on commercially reasonable terms or a timely basis.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supply chain and delivery services may be disrupted by other factors, including but not limited to, improper supply chain management, regulatory changes or noncompliance, surging market demand for our products or raw materials and extreme weather, natural disasters, health epidemics (such as the COVID-19 outbreak) and other calamities. Any such disruptions may result in loss of potential orders, failures to deliver the customer order on time, or at all, and negative impact on the results of our business operations, financial performance and reputation.</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quality and safety of our products could have a material and adverse effect on our reputation, financial condition and results of operations.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quality and safety of our products are critical to our success. For more information on our quality control system, see “Item 4. Information on the Company—4.B. Business Overview—Supply Chain” and “Item 4. Information on the Company—4.B. Business Overview—Food Safety and Quality Control.” However, due to the scale of our operations and growth of our store network, maintaining consistent product quality depends significantly on the effectiveness of our quality control system, which in turn depends on a number of factors, including but not limited to the design of our quality control system, employee training to ensure that our employees adhere to and implement our quality control policies and procedures and the effectiveness of monitoring any potential violation of our quality control policies and procedures. There can be no assurance that our quality control system will always prove to be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quality of the products or services provided by our suppliers or service providers is subject to factors beyond our control, including the effectiveness and the efficiency of their quality control system, among others. There can be no assurance that our suppliers or service providers will always be able to adopt appropriate quality control systems and meet our stringent quality control requirements in respect of the products or services they provide. Any failure of our suppliers or service providers to provide satisfactory products or services could harm our reputation and adversely impact our operations. See “—Illegal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customers become ill from food or beverage-borne illnesses, tampering, adulteration, contamination, mislabeling or other food or beverage safety issues, we could be forced to temporarily close the impacted stores and/or be involved in related disputes or legal proceedings. In addition, instances of food or beverage safety issues, even those not involving us or our suppliers, could, by resulting in negative publicity about us, China’s coffee industry or China’s food and beverage market in general, adversely affect our reputation, financial condition and results of operations. A decrease in customer confidence in the safety and quality of our products or any food safety issues could materially harm our business and results of operations. See “—Adverse incidents or reports of food-safety issues, whether true or not, may harm our business.”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proper functioning of our technology infrastructure is essential to our business. We rely on our technology to improve customer engagement and our operational efficiency, among others. See “Item 4. Information on the Company—4.B. Business Overview— Technology.” The risks we face in relation to the disruption of our technology infrastructure include:</w:t>
      </w:r>
    </w:p>
    <w:p>
      <w:pPr>
        <w:spacing w:after="0" w:line="178" w:lineRule="exact"/>
        <w:rPr>
          <w:sz w:val="20"/>
          <w:szCs w:val="20"/>
          <w:color w:val="auto"/>
        </w:rPr>
      </w:pPr>
    </w:p>
    <w:p>
      <w:pPr>
        <w:jc w:val="both"/>
        <w:ind w:left="660" w:hanging="309"/>
        <w:spacing w:after="0" w:line="25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problems when upgrading our technology infrastructure including our mobile apps, systems and software. The development, upgrades and implementation of our technology infrastructure are complex processes. Issues not identified during pre-launch testing of new services may only become evident when such services are made available to our entire customer base. Therefore, our technology infrastructure, including our mobile apps, may not function properly if we fail to detect or solve technical errors in a timely manner; and</w:t>
      </w:r>
    </w:p>
    <w:p>
      <w:pPr>
        <w:spacing w:after="0" w:line="185"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6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These and other events may lead to the unavailability of our mobile apps, interruption of our supply chain and delivery, interruption of unmanned machines, leakage or permanent loss of customer data, interruptions or decreases in connection speed, or other events which would negatively affect our operations. If we experience frequent or persistent service disruptions, whether caused by failures of our own systems or those of third-party suppliers or service providers, our reputation or relationships with our customers may be damaged and our customers may switch to our competitors, which may have a material adverse effect on our business, financial condition and results of operations.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calamities, which could significantly disrupt our business, financial condition and results of operations.</w:t>
      </w:r>
    </w:p>
    <w:p>
      <w:pPr>
        <w:spacing w:after="0" w:line="16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vulnerable to natural disasters, health epidemics,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 In particular, our operations had been adversely affected by the COVID-19 outbreak in China. The outbreak of COVID-19 had impacts on our business in various aspects.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evaluate and potentially consummate strategic investments, acquisitions, strategic cooperation, formation of joint ventures and new business initiatives which may turn out to be not successful and adversely affect our operation and financial results.</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complement our business and strengthen our market-leading position, we may form strategic alliances or make strategic investments and acquisitions from time to time. In addition, we continually evaluate the potentials of new business initiatives or new markets. We may experience difficulties in integrating our operations with the newly invested or acquired businesses, executing new business initiatives, managing our expansion, implementing our strategies or achieving expected levels of net revenues, profitability, productivity or other benefits. For example, in January 2020, we officially launched our unmanned retail initiative, including Luckin Coffee EXPRESS, which is an unmanned machine that prepares a selection of freshly brewed drinks. We recorded impairment loss of long-lived assets of RMB52.1 million and RMB2.1 million in 2019 and 2020, respectively, in connection with the first generation Luckin Coffee EXPRESS machines that we purchased or prepaid for trial operation in 2019 and the subsequent launch in 2020. Further in 2022, due to historical underperformance and updated strategy and business projections, we recorded a full impairment of RMB221.8 million for Luckin Coffee EXPRESS machines. In 2023, due to operational strategy adjustments, we decided to cease all operations under Luckin Tea, and thus recorded a full impairment of RMB4.5 million (US$0.6 million) for assets in relation to Luckin Tea. Therefore, we cannot assure you that our investments, acquisitions, cooperation and new business initiatives will benefit our business strategy, generate sufficient net revenues to offset the associated costs, or otherwise result in the intended benefits.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Growth of our business will partially depend on the recognition of our brand, and any failure to maintain, protect and enhance our brand would limit our ability to grow or retain our customer base, which would materially and adversely affect our business, financial condition and results of operations.</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recognition of our brand among customers has helped us manage our customer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are not limited to our ability to:</w:t>
      </w:r>
    </w:p>
    <w:p>
      <w:pPr>
        <w:spacing w:after="0" w:line="180" w:lineRule="exact"/>
        <w:rPr>
          <w:sz w:val="20"/>
          <w:szCs w:val="20"/>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and attractiveness of the products we offer;</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launch new products that satisfy our customers’ needs;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superior customer experience;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 promotion activities;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good relationships and retain favorable terms with our suppliers, service providers and other business partners;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 compliant with relevant laws and regulations;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against existing and future competitors; and</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our reputation and goodwill generally and in the event of any negative publicity on our products, services and data security, or other issues affecting us, China’s coffee industry or China’s food and beverage sector in general.</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public perception that we, or other industry participants do not provide satisfactory products or services to customers, even if factually incorrect or based on isolated incidents, could damage our reputation, diminish the value of our brand, undermine the trust and credibility we have established and have a negative impact on our ability to attract and retain customers, and our business, financial condition and results of operations may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Publicity about our business and management creates the possibility of heightened attention from the public, regulators and the media. Any negative report regarding our business, financial condition, results of operations, our management and employees could damage our brand image and severely affect the sales of our products and possibly lead to claims, litigation and damages. One of our executive officers, Mr. Fei Yang, was the president of IWOM Marketing Co., Ltd. (“IWOM”), a digital marketing company, when it was convicted of illegal business operation in 2013 for deleting user-generated content for profit. Mr. Yang was held liable as IWOM’s president and was given a short-term (18 months) prison sentence.</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Although Mr. Yang left IWOM in 2015, there has been and might continue to be negative media coverage about this conviction, which may have a negative effect on our public image and business. In addition, improper behavior or statements of our spokespersons, endorsers and other celebrities we have cooperated with and our employees may result in substantial harm to our brand, reputation and operations. We could become a target for public scrutiny, including complaints to regulatory agencies, negative media coverage, and malicious allegations, in the future, and such scrutiny and public exposure could severely damage our reputation as well as our business and prospects.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costs on a variety of sales and marketing efforts, including mass advertising and heavy promotions to attract customers, and some sales and marketing campaigns and methods may not be sustainable or may turn out to be ineffective.</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have invested significantly in sales and marketing activities to promote our brand and our products and to deepen our relationships with customers. We incurred RMB336.9 million, RMB570.1 million, and RMB1,286.5 million (US$181.2 million) in sales and marketing expenses for the years ended December 31, 2021, 2022, and 2023, respectively. We also regularly offer coupons and vouchers to increase our customer base, retain our existing customers or promote new products, and such promotion activities might not be sustainable.</w:t>
      </w:r>
    </w:p>
    <w:p>
      <w:pPr>
        <w:spacing w:after="0" w:line="1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sales and marketing activities may not be well received by our existing customers, and may not attract new customers as anticipated. The evolving marketing landscape may require us to experiment with new marketing methods to keep pace with industry trends and customer preferences. Failure to refine our existing marketing approaches or to introduce new marketing approaches in a cost-effective manner could reduce our market share and negatively impact our results of operations. There is no assurance that we will be able to recover the costs of our sales and marketing activities or that these activities will be effective in attracting new customers and retaining existing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managing our store network.</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may not be able to manage our store network. The number and timing of the stores actually opened during any given period are subject to a number of risks and uncertainties, including but not limited to our ability to:</w:t>
      </w:r>
    </w:p>
    <w:p>
      <w:pPr>
        <w:spacing w:after="0" w:line="163" w:lineRule="exact"/>
        <w:rPr>
          <w:sz w:val="20"/>
          <w:szCs w:val="20"/>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locations and secure leases on commercially reasonable terms;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funding for development and opening costs;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required licenses, permits and approvals;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our time and cost in relation to the design, decoration and preopening processes for each of our stores;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retain suitable retail partners;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skilled employees.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Any factors listed above, either individually or in aggregate, might delay or fail our plan to increase the number of stores in desirable locations at manageable cost levels.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may not be able to successfully operate our existing stores and may choose to shut down certain stores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incidents or reports of food-safety issues, whether true or not, may harm our business.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Instances or reports of food-safety issues, such as food or beverage-borne illnesses, tampering, adulteration, contamination or mislabeling, either during growing, manufacturing, packaging, storing or preparation, whether true or not, have in the past severely injured the reputations of companies in China’s food and beverage market and could affect us as well. Product safety or quality issues, actual or perceived, or allegations of product contamination, even when false or unfounded, could tarnish the image of our brand and may cause customers to choose other products. Such issues could materially and negatively affect our reputation, results of operations and financial performance.</w:t>
      </w:r>
    </w:p>
    <w:p>
      <w:pPr>
        <w:spacing w:after="0" w:line="18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accordance with the relevant laws and regulations in jurisdictions in which we operate, we are required to maintain various approvals, licenses and permits to operate our business, including but not limited to business licenses, food operation licenses, environmental impact assessment filings and fire safety inspections. These approvals, licenses and permits are obtained upon satisfactory compliance with, among other things, the applicable laws and regulations. If we or our retail partners fail to obtain the necessary licenses, permits and approvals, we may be subject to fines, confiscation of the gains derived from the related stores or the suspension of operations of the related stores. We may also experience adverse publicity arising from such noncompliance with government regulations that negatively impacts our brand. We may experience difficulties or failures in obtaining the necessary approvals, licenses and permits for new stores. If we fail to obtain the material licenses, our store opening and expansion plan may be delayed. In addition, there can be no assurance that we will be able to obtain and/or renew all of the approvals, licenses and permits required for our existing business operations upon their expiration in a timely manner or at all, which could adversely affect our business operations. The following are some particular risks and potential negative consequences regarding certain lack of requisite approvals, licenses or permits, without prejudice to the generality of the foregoing.</w:t>
      </w:r>
    </w:p>
    <w:p>
      <w:pPr>
        <w:spacing w:after="0" w:line="1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the date of this annual report, a small portion of our stores have not obtained business licenses, and we are in the process of obtaining business licenses for these stores. We may be ordered by the government authorities to rectify such noncompliance or to suspend operations of these stores and may be subject to fines of up to RMB500,000 for each store that fails to obtain business licenses.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a small portion of our stores have not obtained food operation licenses, and we are in the process of obtaining food operation licenses for these stores. The relevant government authorities may confiscate the income of these stores since commencing operation as well as the food and beverage products sold at these stores and the raw materials and equipment used in store operation, and may impose fines based on the value of the food and beverage products sold at each store (if the value of the food and beverage products is less than RMB10,000, a fine up to RMB100,000 may be imposed; if the value of the food and beverage products is more than RMB10,000, a fine up to 20 times of such value may be imposed).</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our stores are required to obtain permits over fire safety inspection by local fire prevention authorities. However, as of the date of this annual report, a substantial number of such stores have not obtained such permits. Our stores that fail to obtain the permits over fire safety inspections may be ordered by the relevant government authorities to close down and may be subject to a fine of up to RMB300,000 per store. In addition, some of our stores have not completed the required as-built acceptance check on fire prevention or fire safety filing. If the stores that fail to complete such fire safety filing are found unqualified by relevant government authorities in random inspection, they may be ordered by the relevant government authorities to close down and may be subject to a fine of up to RMB300,000 per store. As advised by our PRC legal counsel, King &amp; Wood Mallesons, the likelihood that we would be subject to material administrative penalties by fire safety regulatory authorities is 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recorded negative cash flows from operating activities historically and may have a net current liabilities position in the future.</w:t>
      </w:r>
    </w:p>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experienced significant cash outflow from operating activities since our inception. We had net cash provided by operating activities of RMB123.4 million, RMB19.8 million, and RMB2,900.4 million (US$408.5 million) for the years ended December 31, 2021, 2022, and 2023, respectively. Despite the improvement of our operating cash position in 2021, 2022 and 2023, we cannot guarantee that we will maintain that positive operating cash position in the future. If our cost of continuing operations increases in the future or our cash generated from operating activities does not meet our expectation, our operating cash position could worsen, and our business could be adversely affected because of the limited amount of cash available to meet the cash needs for operating our business and to fund our investments in our business expansion.</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net current assets of RMB1,791.7 million, RMB3,208.2 million, and RMB2,136.9 million (US$301.0 million) as of December 31, 2021, 2022, and 2023, respectively. We could have a net current liabilities position in the future, which would expose us to liquidity risk. Our future liquidity and ability to make additional capital investments necessary for our operations and business expansion will depend primarily on our ability to maintain sufficient cash generated from operating activities and to obtain adequate external financing. There can be no assurance that we will be able to renew existing bank facilities or obtain other sources of financing.</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has benefited from our collaborations with our strategic partners, including Weixin, in the areas such as mobile ordering and payment and joint marketing. We have entered into certain collaborations or alliances, such as incorporating joint ventures, with our business partners historically from time to time. We cannot assure you that such alliances or partnerships will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operations of our third-party suppliers, retail partners and service providers could potentially disrupt our operations.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limited control over the operations of our third-party suppliers, retail partners, service providers and other business partners and any significant interruption in their operations may have an adverse impact on our operations. For example, a significant interruption in the operations of our roasted coffee bean suppliers’ roasting facilities could cause a shortage of coffee at our stores, a significant interruption impacting our leased warehouses, whether as a result of a natural disaster, labor difficulties, fire or other causes, could cause the shortage of our inventory, and a significant interruption in the operations of our internet service provider could impact the operation of our mobile apps. If we cannot solve the impact of the interruptions of operations of our third-party suppliers, retail partners or service providers, our business operations and financial results may be materially and adversely affected.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reputation and operation may be harmed by illegal or unsatisfactory actions taken by suppliers, our retail partners and service providers over which we have limited control. For example, the failure of our raw material suppliers to ensure product quality or to comply with food safety or other laws and regulations could interrupt our operations and result in claims against us, and any delay in delivery of our products, damage to our products during the course of delivery and inappropriate actions taken by delivery riders of our delivery service providers might cause customer complaints.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event that we become subject to claims caused by actions taken by our suppliers, our retail partners, or service providers, we may attempt to seek compensation from the relevant suppliers, our retail partners, or service providers. However, such compensation may be limited. For example, we may not be able to fully cover compensation from our retail partners in case that our losses attributed to their actions exceed their deposit withheld by us. If no claim can be asserted against a supplier, our retail partners, or service provider, or amounts that we claim cannot be fully recovered from the supplier, our retail partners, or service provider, we may be required to bear such losses and compensation at our own costs. This could have a material and adverse effect on our business, financial condition and results of operations.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fluctuations in the cost, availability and quality of our raw materials and pre-made products, which could adversely affect our results of operations.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cost, availability and quality of our principal raw material, Arabica coffee beans, coffee condiments, tea leaves as well as pre-made food and beverage items, are important to our operations. We usually enter into fixed-price purchase agreements with suppliers of raw materials and pre-made food and beverage items with a term of one year. However, such contract prices may be renegotiated when there is significant fluctuation in the market price of these products. If the cost of raw materials and pre-made products increases after expiration of existing agreements, due to large market price fluctuation or due to any other reason, our business and results of operations could be adversely affected.</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coffee beans and most of our coffee condiments and pre-made products have relatively short shelf life, frequent and timely supply of these products are essential to our operations. Lack of availability of these products, whether due to shortages in supply, delays or interruptions in processing, failure of timely delivery or otherwise, could interrupt our operations and adversely affect our financial results.</w:t>
      </w:r>
    </w:p>
    <w:p>
      <w:pPr>
        <w:spacing w:after="0" w:line="17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Uncertainties relating to the growth of China’s coffee industry and food and beverage industry could adversely affect our revenues and business prospects.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business is affected by the development of China’s coffee industry and food and beverage industry in general. The demand for our coffee items and our future results of operations will depend on numerous factors affecting the development of China’s coffee industry and food and beverage industry in general, such as governmental regulations and policies over this industry, investments in this industry and the drinking culture and hobby of Chinese consumers, and some of them are completely beyond our control.</w:t>
      </w:r>
    </w:p>
    <w:p>
      <w:pPr>
        <w:spacing w:after="0" w:line="18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 decline in the popularity of coffee, especially freshly brewed coffee, or any failure by us to adapt our strategies in response to trends in China’s coffee industry and food and beverage industry in general may adversely affect our results of operations and business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public or medical opinion about the health effects of our products may harm our business.</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our products contain caffeine, dairy products, sugar and other active compounds, the health effects of which are not fully understood. The excessive consumption of these compounds may result in adverse health effects and have caused increasing public awareness. For example, a number of research studies conclude or suggest that excessive consumption of caffeine may lead to increased heart rate, nausea and vomiting, restlessness and anxiety, depression, headaches, tremors, sleeplessness and other adverse health effects. A number of research studies suggest the excess consumption of added sugar is associated with a variety of preventable diseases, obesity and damaged metabolism. Unfavorable reports on the health effects of caffeine or other compounds of our products could significantly reduce the sales of our products. Also, we could become subject to litigation relating to the existence of such compounds in our products and any such litigation could be costly and could divert management attention.</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international markets will expose us to additional tax, compliance, policy, market and other risks, and there can be no assurance that any such expansion will be successful.</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exploring business expansion into international markets. Our operations in international markets will expose us to various risks, including but not limited to those arising from:</w:t>
      </w:r>
    </w:p>
    <w:p>
      <w:pPr>
        <w:spacing w:after="0" w:line="163" w:lineRule="exact"/>
        <w:rPr>
          <w:sz w:val="20"/>
          <w:szCs w:val="20"/>
          <w:color w:val="auto"/>
        </w:rPr>
      </w:pPr>
    </w:p>
    <w:p>
      <w:pPr>
        <w:ind w:left="980" w:hanging="311"/>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local competitors (which may have greater resources and/or more favorable market positions);</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diversity of customer preferences and demand and our ability to anticipate or respond to such preferences and demand;</w:t>
      </w:r>
    </w:p>
    <w:p>
      <w:pPr>
        <w:spacing w:after="0" w:line="217"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environments in the countries where we operate;</w:t>
      </w:r>
    </w:p>
    <w:p>
      <w:pPr>
        <w:spacing w:after="0" w:line="217"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regulations, and the imposition of new duties or other protectionist measures;</w:t>
      </w:r>
    </w:p>
    <w:p>
      <w:pPr>
        <w:spacing w:after="0" w:line="217"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customary restrictions to any aspect of our existing business model;</w:t>
      </w:r>
    </w:p>
    <w:p>
      <w:pPr>
        <w:spacing w:after="0" w:line="217" w:lineRule="exact"/>
        <w:rPr>
          <w:rFonts w:ascii="Times New Roman" w:cs="Times New Roman" w:eastAsia="Times New Roman" w:hAnsi="Times New Roman"/>
          <w:sz w:val="18"/>
          <w:szCs w:val="18"/>
          <w:color w:val="auto"/>
        </w:rPr>
      </w:pPr>
    </w:p>
    <w:p>
      <w:pPr>
        <w:ind w:left="980" w:right="20" w:hanging="311"/>
        <w:spacing w:after="0" w:line="27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complying with, and enforcing remedies under, a wide variety of complex domestic and international laws, treaties and regulations;</w:t>
      </w:r>
    </w:p>
    <w:p>
      <w:pPr>
        <w:spacing w:after="0" w:line="163"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sanctions, trade restrictions, discrimination, protectionism or unfavorable policies against China-based companies;</w:t>
      </w:r>
    </w:p>
    <w:p>
      <w:pPr>
        <w:spacing w:after="0" w:line="228" w:lineRule="exact"/>
        <w:rPr>
          <w:rFonts w:ascii="Times New Roman" w:cs="Times New Roman" w:eastAsia="Times New Roman" w:hAnsi="Times New Roman"/>
          <w:sz w:val="17"/>
          <w:szCs w:val="17"/>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infringement of our intellectual property rights in foreign jurisdictions;</w:t>
      </w:r>
    </w:p>
    <w:p>
      <w:pPr>
        <w:spacing w:after="0" w:line="217"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third-party claims outside the PRC;</w:t>
      </w:r>
    </w:p>
    <w:p>
      <w:pPr>
        <w:spacing w:after="0" w:line="217"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controls and fluctuations; and</w:t>
      </w:r>
    </w:p>
    <w:p>
      <w:pPr>
        <w:spacing w:after="0" w:line="217" w:lineRule="exact"/>
        <w:rPr>
          <w:rFonts w:ascii="Times New Roman" w:cs="Times New Roman" w:eastAsia="Times New Roman" w:hAnsi="Times New Roman"/>
          <w:sz w:val="18"/>
          <w:szCs w:val="18"/>
          <w:color w:val="auto"/>
        </w:rPr>
      </w:pPr>
    </w:p>
    <w:p>
      <w:pPr>
        <w:ind w:left="980" w:hanging="311"/>
        <w:spacing w:after="0" w:line="27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acts of terrorism or similar events, conflicts, civil unrest or situations of political instability, uncertainties in international relations or geopolitical tensions.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or other factors may harm our business in international markets or cause us to incur significant costs in these markets, which could have a material adverse effect on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seasonal fluctuations and unexpected interruptions.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experience seasonality in our business. We generally experience fewer purchase orders during certain periods of a year, such as winter and the Chinese New Year holidays. We also experience fluctuations in the types of products sold as a result of weather changes that affect consumers’ preference for different drinks, which have different average selling prices. However, we cannot guarantee that such trend will be indicative of our future performance. Therefore, our financial condition and results of operations for future quarters may continue to fluctuate and our historical quarterly results may not be comparable to future quarters. As a result, the trading price of the ADSs may fluctuate from time to time due to seasonality.</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Overall tightening of the labor market, increases in labor costs or any possible labor unrest may adversely affect our business and results of operations.</w:t>
      </w:r>
    </w:p>
    <w:p>
      <w:pPr>
        <w:spacing w:after="0" w:line="1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requires a substantial number of personnel. Any failure to retain stable and dedicated labor by us may lead to disruption to our business operations.</w:t>
      </w:r>
    </w:p>
    <w:p>
      <w:pPr>
        <w:spacing w:after="0" w:line="16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Although we have not experienced any material labor shortage as of the date of this annual report,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generates and processes a large quantity of personal, transaction, and behavior data. We face risks inherent in handling large volumes of data and in protecting the security of such data. In particular, we face a number of challenges relating to data from transactions and other activities on our system, including:</w:t>
      </w:r>
    </w:p>
    <w:p>
      <w:pPr>
        <w:spacing w:after="0" w:line="178" w:lineRule="exact"/>
        <w:rPr>
          <w:sz w:val="20"/>
          <w:szCs w:val="20"/>
          <w:color w:val="auto"/>
        </w:rPr>
      </w:pPr>
    </w:p>
    <w:p>
      <w:pPr>
        <w:ind w:left="660" w:hanging="309"/>
        <w:spacing w:after="0" w:line="27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third parties or fraudulent behavior by our employees;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Any systems failure or security breach or lapse that results in the release of customer data could harm our reputation and brand and, consequently, our business, in addition to exposing us to potential legal liability. Furthermore,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Recently, companies’ practices regarding collection, use, retention, transfer, disclosure and security of user data have been the subject of enhanced regulations and increased public scrutiny. For example, historically, we have been named by regulatory authorities among other apps for not expressly obtaining all authorizations from users, for which we have taken measures, including adjustments to our user privacy terms, to address the issue. The regulatory frameworks regarding privacy issues in many jurisdictions are constantly evolving and can be subject to significant changes from time to time.</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China, the PRC Cybersecurity Law, which became effective in June 2017, provides that personal information and important data collected and generated by operators of critical information infrastructure in the course of their operations in the PRC should be stored in the PRC. The PRC government is increasingly focused on data security, and has launched cybersecurity review against a number of mobile apps operated by several U.S.-listed Chinese companies and prohibited these apps from registering new users during the review period.</w:t>
      </w:r>
    </w:p>
    <w:p>
      <w:pPr>
        <w:spacing w:after="0" w:line="16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regulators in China may implement measures to ensure that encryption of users’ data does not hinder law enforcement agencies’ access to that data. For example, according to the PRC Cybersecurity Law and relevant regulations, network operators, are obligated to provide assistance and support in accordance with the law for public security and national security authorities to protect national security or assist with criminal investigations. Compliance with these laws and requirements in manners that are perceived as harming privacy could lead to significant damage to our reputation and proceedings and actions against us by regulators and private parties.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March 12, 2021, the CAC, the MIIT, the Ministry of Public Security and the SAMR jointly promulgated the Provisions on the Scope of Necessary Personal Information Required for Common Types of Mobile Internet Applications, which became effective on May 1, 2021, clarifying the scope of necessary information required for certain common mobile apps and stating that mobile apps operators may not deny users’ access to basic functions and services when the users opt out of the collection of unnecessary personal information. The CAC has since named a number of mobile apps in its regulatory announcement for failure to comply with privacy and data security regulations, and ordered these apps to rectify their data collection and use practices. On June 10, 2021, the Standing Committee of the National People’s Congress of China promulgated the Data Security Law which took effect on September 1, 2021, and on August 20, 2021, the Standing Committee of the National People’s Congress of China promulgated the Personal Information Protection Law which took effect on November 1, 2021. The Data Security Law provides for data security and privacy obligations of entities and individuals carrying out data activities, prohibits entities and individuals in China from providing any foreign judicial or law enforcement authority with any data stored in China without approval from competent PRC authority, and sets forth the legal liabilities of entities and individuals found to be in violation of their data protection obligations, including rectification order, warning, fines of up to RMB10 million, suspension of relevant business, and revocation of business permits or licenses. See “Item 4. Information on the Company—4.B. Business Overview— Regulation—Regulation on Internet Privacy.” The Personal Information Protection Law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China or for the analysis and assessment of acts of natural persons within China.</w:t>
      </w:r>
    </w:p>
    <w:p>
      <w:pPr>
        <w:spacing w:after="0" w:line="1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Numerous regulations, guidelines and other measures have been or are expected to be adopted under the umbrella of, or in addition to, the Cybersecurity Law and Data Security Law. For example, Regulations on the Security Protection of Critical Information Infrastructure, or the CII Protection Regulations, became effective on September 1, 2021. According to the CII Protection Regulations, critical information infrastructure, or the CII, refers to any important network facilities or information systems of the important industry or field such as public communication and information service, energy, transportation, water conservancy, finance, public services, e-government affairs and national defense science, which may endanger national security, people’s livelihood and public interest in the case of damage, function loss or data leakage. Regulators supervising specific industries are required to formulate detailed guidance to identify CII in the respective sectors, and a critical information infrastructure operator, or a CIIO, must take the responsibility to protect the CII’s security by performing certain prescribed obligations. For example, CIIOs are required to conduct network security test and risk assessment, report the assessment results to relevant regulatory authorities, and timely rectify the issues identified at least once a year. As of the date of this annual report, we have not been identified as a CIIO by the relevant regulatory authority.</w:t>
      </w:r>
    </w:p>
    <w:p>
      <w:pPr>
        <w:spacing w:after="0" w:line="15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in December 2021, the CAC and several other administrations jointly promulgated the amended Cybersecurity Review Measures, or the Cybersecurity Review Measures, which took effect on February 15, 2022. Pursuant to the Cybersecurity Review Measures, where the relevant activity affects or may affect national security, a CIIO that purchases network products and services, or an internet platform operator that conducts data process activities, shall be subject to the cybersecurity review. The Cybersecurity Review Measures also expands the cybersecurity review requirement to cover “internet platform operators” in possession of personal information of over one million users if such operators intend to list their securities in a foreign country. See “—Risks Relating to Doing Business in China —The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Additionally, relevant governmental authorities in the PRC may initiate cybersecurity review if they determine an internet platform operator’s network products or services or data processing activities affect or may affect national security.</w:t>
      </w:r>
    </w:p>
    <w:p>
      <w:pPr>
        <w:spacing w:after="0" w:line="16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Furthermore, on November 14, 2021, Measures on Network Data Security Management (Draft for Comment), or the Draft Measures on Network Data, was proposed by the CAC for public comments until December 13, 2021. The Draft Measures on Network Data requires data processors to apply for cybersecurity review in accordance with the relevant laws and regulations for carrying out activities including but not limited to: (i) a merger, reorganization, or division to be conducted by an internet platform operator who has amassed a substantial amount of data resources that concern national security, economic development or the public interest, which will or may impact national security; (ii) an overseas initial public offering to be conducted by a data processor processing the personal information of more than one million individuals; (iii) an overseas initial public offering in Hong Kong to be conducted by a data processor, which will or may impact national security; and (iv) other data processing activities that will or may have an impact national security. Any failure to comply with such requirements may subject us to, among others, suspension of services, fines, revoking relevant business permits or business licenses and penalties on responsible persons. The Draft Measures on Network Data was released for public comment only, there remains substantial uncertainty, including but not limited to its final content, adoption timeline, effective date or relevant implementation rules.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 individuals to overseas recipients, in each case as calculated cumulatively, since January 1 of the previous year, and (4) other circumstances where the security assessment of data cross-border transfer is required as prescribed by the CAC. On February 22, 2023, the CAC issued the Measures on the Standard Contract for Outbound Data Transfer of Personal Information, or Personal Information Outbound Transfer Standard Contract Measures, which came into effect on June 1, 2023, and provide for circumstances where personal information processors may transfer personal information abroad by entering into a standard contract, and stipulated detailed compliance requirements.</w:t>
      </w:r>
    </w:p>
    <w:p>
      <w:pPr>
        <w:spacing w:after="0" w:line="19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3, 2023, the Administrative Measures on Personal Information Protection Compliance Audits (Draft for Comment), or the Draft Measures on Compliance Audits, was proposed by the CAC for public comments until September 2, 2023. According to the Draft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 million people shall conduct personal information protection compliance audits at least once a year. Furthermore, the Draft Measures on Compliance Audits enumerate the key focus when conducting “personal information protection compliance audits”.</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March 22, 2024, the Provisions on Regulating and Promoting Cross-border Data Transfer,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8, 2023, the Administrative Measures on Reporting of Cybersecurity Incidents (Draft for Comment),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Since these laws and regulations in China are relatively new, uncertainties still exist in relation to their interpretation and implementation. Any change in laws and regulations relating to privacy, data protection and information security and any enhanced governmental enforcement action of such laws and regulations could greatly increase our cost in providing our products and services, limit their use or adoption or require certain changes to be made to our operations. If we fail to comply with these new laws and regulations described above, we may be ordered to rectify and terminate any actions that are deemed illegal by the government authorities and become subject to fines and other government sanctions, which may materially and adversely affect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Complying with these obligations under the PRC Cybersecurity Law, the PRC National Security Law, the Data Security Law, the Personal Information Protection Law, the Cybersecurity Review Measures, the Measures on Network Data Security Management, as well as additional laws and regulations that PRC regulatory bodies may enact in the future, including data security and personal information protection laws could cause us to incur substantial costs and subject us to negative publicity, which could harm our reputation among users and negatively affect the trading prices of our ADSs and/or other securities. There are also uncertainties with respect to how the PRC Cybersecurity Law, the PRC National Security Law, the Personal Information Protection Law, the Data Security Law, the Cybersecurity Review Measures and the Measures on Network Data Security Management will be implemented and interpreted. In practice, PRC regulators, including the Department of Public Security, the MIIT, the SAMR and the CAC, have been increasingly focused on regulation in the areas of data security and data protection, including for mobile apps, and are enhancing the protection of privacy and data security by rulemaking and enforcement actions at central and local levels. We expect that these areas will receive greater and continued attention and scrutiny from regulators and the public going forward, which could increase our compliance costs and subject us to heightened risks and challenges associated with data security and protection. Any failure to comply with applicable regulations, whether by us, business partners, or other third parties, or as a result of employee error or negligence or otherwise, could result in regulatory enforcement actions, including fines, suspension of business, prohibition against new user registration (even for a short period of time) and revocation of required licenses, against us and have an adverse impact on our business operations and our reputation.</w:t>
      </w:r>
    </w:p>
    <w:p>
      <w:pPr>
        <w:spacing w:after="0" w:line="1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to evolving customer needs or emerging industry standards, our business may be materially and adversely affected.</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remain competitive, we must continue to stay abreast of evolving industry trends and to enhance and improve our technology accordingly. Our success will depend, in part, on our ability to identify, develop, acquire or license leading technologies useful in our business. There can be no assurance that we will be able to use new technologies effectively or adapt our mobile apps to meet customer requirements. If we are unable to adapt in a cost-effective and timely manner in response to changing market conditions or customer preferences, whether for technical, legal, financial or other reasons, our business may be materially and adversely affected.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Although we have employed significant resources to develop our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customer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in the past and are likely again in the future to be subject to these types of attacks, although as of the date of this annual report no such attack has resulted in any material damages or remediation costs. If we are unable to avert these attacks and security breaches, we could be subject to significant legal and financial liability, our reputation would be harmed and we could sustain substantial lost sales and customer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payment methods we accept, including uncertainties in regulations governing payment processing and risks relating to third-party payment providers.</w:t>
      </w:r>
    </w:p>
    <w:p>
      <w:pPr>
        <w:spacing w:after="0" w:line="16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are subject to various rules, regulations and requirements, regulatory or otherwise, and governing payment processing, which could change or be reinterpreted to make it difficult or impossible for us to comply. For example, according to Announcement No. 10 (2018) of the People’s Bank of China issued in July 2018 (the “Announcement No. 10”), companies that refuse to accept cash payment should rectify such noncompliance. According to People’s Bank of China’s interpretation of Announcement No. 10, e-commence platforms, self-service counters and other companies (i) that offer products and services online and in a cashier-less manner, (ii) whose entire customer purchase process does not involve payment or receipt of cash, and (iii) who have obtained consent from customers to use electronic payment methods, may use electronic payment methods instead of accepting cash. The People’s Bank of China further issued Announcement No. 18 (2020) in December 2020 (the “Announcement No. 18”). Pursuant to Announcement No. 18, large and medium-sized commercial institutions including catering service providers shall establish cash collection and payment channels at their business places. If all transactions, payments, and services are completed through the internet, business entities shall publicize payment methods in advance. As of the date of this annual report, we have not been subject to monetary penalties in connection with such noncompliance. However, we cannot assure you that the relevant governmental authorities will have the same interpretation. If we fail to comply with these rules or requirements, we may be subject to fines and higher transaction fees or no longer be able to offer certain payment methods, and our business, financial condition and results of operations could be materially and adversely affected.</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we accept a variety of payment methods, including, but not limited to, Weixin Pay, Alipay and Union Pay. We pay these payment providers varying service fees, which may increase over time and raise our operating costs. We may also be subject to fraud, security breaches and other illegal activities in connection with the various payment methods we offer.</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use software licensed from third parties. Our ability to provide customers with a high-quality online experience also depends on the satisfactory performance, reliability and availability of software licensed from third parties.</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 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our existing premises or to renew such leases at acceptable terms, or failures to obtain necessary real-estate certificates, could materially and adversely affect our business.</w:t>
      </w:r>
    </w:p>
    <w:p>
      <w:pPr>
        <w:spacing w:after="0" w:line="1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lease the premises for all of our self-operated stores. It is possible for the lessors to terminate the lease agreement with notice in advance. In addition, the PRC government has the statutory power to acquire any land in the PRC.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spacing w:after="0" w:line="18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generally enter into long-term leases of approximately three years with an option to renew for our stores. Rent for our leases is typically fixed amounts and subject to annual or biennially incremental increases as stipulated in the lease agreements, or fixed amounts plus a variable rent rate linked to the store performance.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decoration and other costs and risks, and loss of existing customers, and could have a material and adverse effect on our business and results of operations. In addition, the relocated store may not perform as well as the existing store.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2018, we and UCAR Inc. entered into a project cooperation agreement and a strategic cooperation agreement (collectively, the “</w:t>
      </w:r>
      <w:r>
        <w:rPr>
          <w:rFonts w:ascii="Times New Roman" w:cs="Times New Roman" w:eastAsia="Times New Roman" w:hAnsi="Times New Roman"/>
          <w:sz w:val="18"/>
          <w:szCs w:val="18"/>
          <w:b w:val="1"/>
          <w:bCs w:val="1"/>
          <w:color w:val="auto"/>
        </w:rPr>
        <w:t>2018 Agreements</w:t>
      </w:r>
      <w:r>
        <w:rPr>
          <w:rFonts w:ascii="Times New Roman" w:cs="Times New Roman" w:eastAsia="Times New Roman" w:hAnsi="Times New Roman"/>
          <w:sz w:val="18"/>
          <w:szCs w:val="18"/>
          <w:color w:val="auto"/>
        </w:rPr>
        <w:t>”) with the Siming District Government and the Xiamen Municipal Government, respectively, (collectively “Xiamen Government”) pursuant to which we purchased our new headquarters under favorable pricing terms that came with certain commitments, including meeting certain requirements of tax contribution, operating performance and capital investments from 2019 to 2023. We were not able to obtain the real property ownership certificates of the new headquarters under the 2018 Agreements since we did not meet the requirements thereof. In 2024, we entered into a new cooperation agreement with the government of Siming District of Xiamen municipality (the “</w:t>
      </w:r>
      <w:r>
        <w:rPr>
          <w:rFonts w:ascii="Times New Roman" w:cs="Times New Roman" w:eastAsia="Times New Roman" w:hAnsi="Times New Roman"/>
          <w:sz w:val="18"/>
          <w:szCs w:val="18"/>
          <w:b w:val="1"/>
          <w:bCs w:val="1"/>
          <w:color w:val="auto"/>
        </w:rPr>
        <w:t>2024 Agreement</w:t>
      </w:r>
      <w:r>
        <w:rPr>
          <w:rFonts w:ascii="Times New Roman" w:cs="Times New Roman" w:eastAsia="Times New Roman" w:hAnsi="Times New Roman"/>
          <w:sz w:val="18"/>
          <w:szCs w:val="18"/>
          <w:color w:val="auto"/>
        </w:rPr>
        <w:t>”), pursuant to which we are entitled to obtain real property certificates of the new headquarters in batches over a five-year term from 2022 to 2026 upon satisfaction of certain requirements of tax contribution, operating performance and capital investments from 2022 to 2026. We have fulfilled our commitments under the 2024 Agreement in 2022 and 2023, however, as of the date of this annual report, we cannot be sure that we will be able to continue to fulfill our commitments under the 2024 Agreement. Therefore, we cannot rule out the risk of contract disputes, such as claims for liquidated damages arising from any failure to fulfill our commitments, under both the 2018 Agreements and 2024 Agreement. Additionally, we cannot assure you that we can successfully obtain the necessary real property certificate. If we are unable to obtain the real property certificate, under applicable PRC property law, the property right of the real estate may not be effectively transferred to us until it is registered by the relevant registration authority, and therefore we may not have the full legal right to use, own or dispose the real estate.</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Certain lease agreements of our leased properties have not been registered with the relevant PRC government authorities as required by PRC law, which may expose us to potential fines.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annual report, the lease agreements for some of our leased properties in China, including leased properties for our stores, have not been registered with the relevant PRC government authorities. In the event that any fine is imposed on us for our failure to register our lease agreements, we may not be able to recover such losses from the lessors.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could be challenged by property owners or other third parties, which may disrupt our operations and incur relocation costs.</w:t>
      </w:r>
    </w:p>
    <w:p>
      <w:pPr>
        <w:spacing w:after="0" w:line="16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 of the date of this annual report,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liability claims or complaints from customers, or adverse publicity involving our products, our services or our stores.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face an inherent risk of liability claims or complaints from our customers. Most of the customer complaints we received were related to the taste and temperature of our food and beverage offerings, consistency in the quality of our products, a long waiting time and the service quality of our staff. We take these complaints seriously and endeavor to reduce such complaints by implementing various remedial measures. Nevertheless, we cannot assure you that we can successfully prevent or address all customer complaints.</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Any complaints or claims against us, even if meritless and unsuccessful, may divert management attention and other resources from our business and adversely affect our business and operations. Customers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encounter contractual disputes or dispute of other natures with our suppliers, business partners and other third parties, our business, financial condition and results of operations may be adversely affected.</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deal with and enter into contracts with our suppliers, business partners and other third parties in our ordinary course of business. If we encounter contractual disputes with our suppliers, business partners and other third parties or other claims by such parties, our business, financial condition and results of operations may be adversely affected. The contractual terms between us and our suppliers, business partners or other third parties vary depending on factors such as our business needs, our past dealings with the counterparty, among others. The terms of such contracts are generally negotiated on a case-by-case basis and are commercially reasonable at the time they are entered into. From time to time, there may be contractual disputes between us and suppliers, business partners or other third parties relating to our business.</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we may be subject to other claims relating to our transactions with our suppliers, business partners and other third parties. For example, in November 2020, UCAR Inc. approached us seeking payment for certain historical expenses UCAR Inc. allegedly paid on behalf of us, including but not limited to the costs incurred for leasehold improvements of certain office space that we occupied. In September 2021, UCAR Inc. initiated an arbitration proceeding against Luckin Group in China International Economic and Trade Arbitration Commission, seeking to recover its costs and other relevant expenses allegedly incurred of approximately RMB38.4 million. As of December 31, 2022, the arbitration proceeding was closed with the final judgment that we were obligated to pay approximately RMB 31.7 million for the leasehold improvement and related legal fees. We have made full payment and the ending balance of this liability was nil as of December 31, 2022. There are uncertainties as to whether there would be other similar events and whether any of them would evolve into litigation or other formal proceedings.</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such disputes may not only be costly and time-consuming to solve, but may also harm our reputation, subject us to contractual liabilities or significant settlement amounts, or otherwise adversely affect our business, financial condition and results of operations.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our directors, management and employees may be subject to litigation and regulatory investigations and proceedings, such as claims in relation to commercial, food safety, labor, employment, privacy, information security, antitrust, securities matters or any other subject, and may not always be successful in defending ourselves against such claims or proceedings.</w:t>
      </w:r>
    </w:p>
    <w:p>
      <w:pPr>
        <w:spacing w:after="0" w:line="1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face potential liability, expenses for legal claims and harm due to our business nature. For example, customers could assert legal claims against us in connection with personal injuries related to food poisoning or tampering. The PRC government, media outlets and public advocacy groups have been increasingly focused on customer protection in recent years. See “Item 4. Information on the Company —4.B. Business Overview— Regulation—Regulations Relating to Customer Rights Protection.” Sales of defective products may expose us to liabilities associated with customer protection laws. Sellers are responsible for compensation on customer’s loss even if the contamination of food is not caused by the sellers. Thus, we may also be held liable if our suppliers or other business partners fail to comply with applicable food-safety related rules and regulations. Though we can ask the responsible parties for indemnity, our reputation could still be adversely affected.</w:t>
      </w:r>
    </w:p>
    <w:p>
      <w:pPr>
        <w:spacing w:after="0" w:line="1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are subject to legal and administrative proceedings and claims arising in the ordinary course of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 In addition, our directors, management and employees may from time to time be subject to litigation and regulatory investigations and proceedings or otherwise face potential liability and expense in relation to commercial, labor, employment, privacy, information security, antitrust, securities or other matters, which could adversely affect our reputation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As a public company, we may face additional exposure to claims and lawsuits. We are subject to a number of legal proceedings, investigations and inquiries by governmental agencies, as well as a number of lawsuits filed by purchasers of our securities, including class action lawsuits. See “Item 8. Financial Information—8.A. Consolidated Statements and Other Financial Information—Legal Proceedings” for more details. We anticipate that we will continue to be a target for lawsuits in the future, including other class action lawsuits.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operations, cash flows and reputation. In addition, there can be no assurance that our insurance carriers will cover all or part of the defense costs, or any liabilities that may arise from these matters.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Allegations against us or our management may harm our reputation and have a material and adverse impact on our business, results of operations and cash flows.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been, and may become, subject to allegations brought by our competitors, customers, business partners, short sellers, investment research firms or other individuals or entities. Any such allegation, with or without merit, or any perceived unfair, unethical, fraudulent or inappropriate business practice by us or perceived malfeasance by our management could harm our reputation and user base and distract our management from our daily operations. For example, on January 3, 2021, our Board received a letter from certain employees containing allegations against our Chairman and CEO, Dr. Jinyi Guo. The Board immediately formed an independent panel, led by one of the joint provisional liquidators appointed by the Cayman Court and joined by two independent non-executive directors, to conduct an investigation into the allegations and the circumstances of the letter. The independent panel, with the assistance of outside counsels and forensic accounting experts, conducted a comprehensive and independent investigation into the allegations contained in the letter. On February 17, 2021, we announced that the independent panel found no substantiating evidence with respect to the alleged misconduct in the letter, and had reported its findings to the Board. Allegations against us or our management may also generate negative publicity that significantly harms our reputation, which may materially and adversely affect our user base and our ability to attract customers. In addition to the related cost, managing and defending such allegations can significantly divert management’s attention. All of these could have a material adverse impact on our business, results of operations and cash flows.</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from time to time, which are expensive to defend and may disrupt our business if we are found liable.</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intellectual property rights held by third parties. We have been subject to legal proceedings and claims relating to the intellectual property rights of others, such as certain software vendors, from time to time. Such legal proceedings and claims could be costly and divert our management’s attention and other resources from our business and operations.</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There could also be existing intellectual property of which we are not aware that our products may inadvertently infringe. Holders of intellectual property purportedly relating to some aspects of our technology platform or business have sought and may continue to seek to enforce such intellectual property against us in China, the United States or any other jurisdictions. To defend against these infringement claims, regardless of their merits, we have incurred and may continue to incur significant expenses, and we have been and may continue to be forced to divert our management’s time and other resources from our business and operations. If we are found to have violated the intellectual property rights of others, we may be subject to significant monetary liabilities for our infringement activities. In that event, we may also be restricted or prohibited from using such intellectual property and thus incur licensing fees or be forced to develop alternatives of our own. These consequences, among others, may substantially disrupt our business and operations, and our financial position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regard our trademarks, software copyrights, copyright of works, domain names, know-how, proprietary technologies and similar intellectual property as critical to our success. There have been instances where third parties registered social media accounts under names similar to our trademarks in order to gain illegal benefits, against which we have initiated legal proceedings, and we may continue to become an attractive target to such attacks in the future with the increasing recognition of our brand. Any of our intellectual property rights could be challenged, invalidated, circumvented or misappropriated, or such intellectual property may not be sufficient to provide us with competitive advantages. We may also face challenges from third parties relating to the use or ownership of trademarks, domain names and other intellectual property. In addition, there can be no assurance that (i) our pending applications for intellectual property rights will be approved, (ii) all of our intellectual property rights will be adequately protected, or (iii) our intellectual property rights will not be challenged or disputed by third parties, including the ownership of such rights, or found by a judicial authority to be invalid or unenforceable.</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regulations, and future regulations may impose additional requirements and obligations on our business or otherwise materially and adversely affect our business, reputation, financial condition and results of operations.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industries in which we operate are highly regulated. As China’s coffee industry as well as China’s food and beverage market in general is evolving rapidly and the PRC government is very concerned about customer protection, new laws and regulations may be adopted to address new issues that arise from time to time and to impose additional restrictions on our current business.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we continue to grow in scale and significance, we expect to face increased scrutiny, which will, at a minimum, result in our having to increase our investment in compliance and related capabilities and systems. The increasing sophistication and development of our customer base will also increase the need for higher standards of customer protection, privacy protection and dispute management. Any increased involvement in inquiries or investigations could result in significantly higher legal and other costs and diversion of management and other resources, as well as negative publicity, which could materially and adversely affect our business, reputation, financial condition and results of operations.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mobile-based systems, telecommunications networks and digital infrastructure in China.</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new retail business model relies heavily on mobile-based systems, telecommunications networks and digital infrastructure. Almost all access to the internet in China is maintained through state-owned telecommunication operators under the administrative control and regulatory supervision of the Ministry of Industry and Information Technology.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mobile apps. We cannot assure you that the digital infrastructure and the telecommunications networks in China will be able to support the demands associated with the continued growth in digital usage.</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we have no control over the costs of the services provided by telecommunication service providers. If the prices we pay for telecommunications and digital services rise significantly, our results of operations may be materially and adversely affected. Furthermore, if data access fees or other charges to mobile users increase, our user traffic may decline and our business may be harmed.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inventory effectively, our results of operations, financial condition and liquidity may be materially and adversely affected.</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inventories are mostly coffee beans, coffee condiments, tea leaves, tea powder and pre-made food and beverage items with short shelf life, which require us to manage our inventory effectively. We rely on our demand forecasts for various kinds of raw materials and pre-made products to make purchase decisions and to manage our inventory. Such demand, however, can change significantly between the time inventory is ordered and the date by which we hope to sell it. Demand may be affected by seasonality, new product launches, pricing and discounts, product defects, changes in customer spending patterns, changes in customer tastes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1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Furthermore, as we plan to continue expanding our product offerings, we expect to include a wider variety of products and raw materials in our inventory, which will make it more challenging for us to manage our inventory and logistics effectively. We cannot guarantee that our inventory levels will be able to meet the demands of customers, which may adversely affect our sales. We also cannot guarantee that all of our inventories can be consumed within their shelf lives. If we fail to manage our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we underestimate demand for our products, or if our suppliers fail to supply quality raw materials and pre-made products in a timely manner, we may experience inventory shortages, which might result in diminished brand loyalty and lost revenues, any of which could harm our business and reputation.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granted share-based awards in the past and will continue to grant share-based awards in the future, which may have an adverse effect on our future profit. Exercise of the share-based awards granted will increase the number of our shares in circulation, which may adversely affect the market price of our shares.</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adopted a share incentive plan in January 2019 (the “2019 Share Option Plan”) to enhance our ability to attract and retain exceptionally qualified individuals and to encourage them to acquire a proprietary interest in our growth and performance. The maximum aggregate number of Ordinary Shares we are authorized to issue pursuant to all awards under the 2019 Share Option Plan is 79,015,500 Ordinary Shares. As of March 31, 2024, 66,695,568 options (excluding any granted options that were subsequently canceled or expired) have been granted with 2,558,520 vested yet not exercised and 158,048 unvested options under the 2019 Share Option Plan. We also adopted an equity incentive plan in January 2021 (the “2021 Equity Incentive Plan”) to retain, attract and motivate employees and directors by providing them with equity incentives. The maximum aggregate number of Ordinary Shares we are authorized to issue pursuant to all awards under the 2021 Equity Incentive Plan is 222,769,232 Ordinary Shares. As of March 31, 2024, restricted share units to receive ADSs representing 155,685,944 Class A Ordinary Shares (excluding any granted restricted share units that were subsequently canceled) have been granted with restricted share units to receive ADSs representing 88,850,112 Class A Ordinary Shares vested under the 2021 Equity Incentive Plan. See “Item 6. Directors, Senior Management and Employees—6.B. Compensation—Share Incentive Plan.” For the avoidance of doubt, the 2019 Share Option Plan (and any award offered thereunder) is not replaced or superseded by the 2021 Equity Incentive Plan and both plans continue to operate contemporaneously and independently.</w:t>
      </w:r>
    </w:p>
    <w:p>
      <w:pPr>
        <w:spacing w:after="0" w:line="1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expect to grant share-based compensation to employees in the future. As a result, our expenses associated with share-based compensation may increase, which may have an adverse effect on our results of operations.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materially adversely affect our business and financial condition.</w:t>
      </w:r>
    </w:p>
    <w:p>
      <w:pPr>
        <w:spacing w:after="0" w:line="22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impacts of climate change may materially and adversely impact the cost, production and financial performance of our operations. For example, the supply and price of the raw materials and pre-made products we purchase can be affected by multiple factors which may be caused by or exacerbated by climate change.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plants and facilities, which could disrupt our supply chain and ultimately our business operations. In addition, disruption of transportation and distribution systems could result in reduced operational efficiency and customer service interruption. Climate related events have the potential to disrupt our business, including the business of our suppliers, and may cause us to experience higher attrition, losses and additional costs to resume operations.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growth and profitability of our business depend on the level of customer demand and discretionary spending in China. A severe or prolonged downturn in China’s economy could materially and adversely affect our business, financial condition and results of operations.</w:t>
      </w:r>
    </w:p>
    <w:p>
      <w:pPr>
        <w:spacing w:after="0" w:line="1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China’s coffee industry as well as China’s food and beverage market in general is affected by macroeconomic factors, including changes in international, national, regional and local economic conditions, employment levels, customer demand and discretionary spending. All of our stores are located in China and accordingly, our results of operations are affected by the macroeconomic conditions in China. Any deterioration of the PRC economy, decrease in disposable customer income and fear of a recession may lead to a reduction of customer demand and average spending per customer at our stores,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results of operations and financial condition.</w:t>
      </w:r>
    </w:p>
    <w:p>
      <w:pPr>
        <w:spacing w:after="0" w:line="16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Generally accepted accounting principles and related accounting pronouncements, implementation guidelines and interpretations with regard to a wide range of matters that are relevant to our business, including revenue recognition, impairment of long-lived assets and other intangible assets, lease accounting, share-based compensation and recoverability of deferred tax assets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 New accounting guidance may require systems and other changes that could increase our operating costs and/or change our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obtained insurance to cover certain potential risks and liabilities that we face. In particular,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Moreover, insurance companies in China offer limited business insurance products. As a result, we may not be able to acquire insurance for all the potential risks we face in our operations in China, and our coverage may not be adequate to compensate for all losses that may occur, particularly with respect to loss of business or operations. As of the date of this annual report, we do not have adequate business interruption insurance to cover our operations and potential product liabilities.</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a holding company with no operations of our own. We conduct substantially all of our operations in China through our subsidiaries in China and substantially all of our assets are located in China. As such, investors in our ADSs are not purchasing equity securities of our subsidiaries that have substantive business operations in China but instead are purchasing equity securities of a Cayman Islands holding company. In addition, all of our directors and executive officers except Mr. Joel A. Getz (namely Dr. Jinyi Guo, Wenbao Cao, Feng Liu, Yang Cha, Sean Shao, Shaoqiang (Gary) Liu, Qianli Liu, Weihao (Michael) Chen, Jun Liu, Jing An, Fei Yang, Shan Jiang, Weiming Zhou and Tian Zang) reside within the PRC for a significant portion of the time. See “Item 6. Directors, Senior Management and Employees — 6.A Directors and Senior Management” for the names of our executive officers. As a result, it may be difficult for our shareholders to effect service of process upon us or those persons residing inside China. In addition, China does not have treaties providing for the reciprocal recognition and enforcement of judgments of courts with the Cayman Islands, United States and many other countries and regions.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Therefore, recognition and enforcement in China of judgments of a court in any of these non-PRC jurisdictions in relation to any matter not subject to a binding arbitration provision may be difficult or impossible.</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former contractual arrangements in relation to the Former VIE may be subject to scrutiny by the PRC tax authorities, and they may determine that we or the Former VIE owe additional taxes, which could negatively affect our financial condition and the value of your investment.</w:t>
      </w:r>
    </w:p>
    <w:p>
      <w:pPr>
        <w:spacing w:after="0" w:line="1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Historically, we, through the Beijing WFOE, entered into a series of contractual arrangements with the Former VIE as well as its shareholders so that we can hold certain foreign restricted licenses and permits, such as the ICP license, through the Former VIE. In March 2024, we terminated these contractual arrangements. 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historical VIE contractual arrangements were not entered into on an arm’s-length basis in such a way as to result in an impermissible reduction in taxes under applicable PRC laws, rules and regulations, and adjust the income of the Former VIE, if any, in the form of a transfer pricing adjustment. A transfer pricing adjustment could, among other things, result in a reduction of expense deductions recorded by the Former VIE for PRC tax purposes, which could in turn increase its tax liabilities without reducing our PRC subsidiaries’ tax expenses. In addition, the PRC tax authorities may impose late payment fees and other penalties on the Former VIE for the adjusted but unpaid taxes according to the applicable regulations. Our financial position could be adversely affected if the Former VIE’s tax liabilities increase or if it is required to pay late payment fees and other penalties.</w:t>
      </w:r>
    </w:p>
    <w:p>
      <w:pPr>
        <w:spacing w:after="0" w:line="1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Cayman Islands Companies Act (2023 Revision) (the “Companies Act”) and other applicable legislation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purchasers of our ADS do not have the same standing as purchasers of our Ordinary Shares under Cayman Islands law. Shareholders of Cayman Islands companies may not have standing to initiate a shareholder derivative action in a federal court of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rights under Cayman Islands law to inspect corporate records or to obtain copies of lists of shareholders of these companies. Our directors have discretion under our sixth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Moreover, certain judgments obtained against us by our shareholders may not be enforceable. Substantially all of our assets are located outside the United States, and substantially all of our operations are conducted in China. In addition, most of our directors and officers are residents of jurisdictions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all of the above, investors who purchase our ADS may have more difficulty in protecting their interests in the face of actions taken by our management or the Board than they would as public shareholders of a company incorporated in the United States.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Centurium Capital, our controlling shareholder, has had and will continue to have effective control over the outcome of shareholder actions in our company. The interests of Centurium Capital may not be aligned with the interests of our other shareholders and holders of the ADSs.</w:t>
      </w:r>
    </w:p>
    <w:p>
      <w:pPr>
        <w:spacing w:after="0" w:line="1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March 31, 2024, Centurium Capital, our controlling shareholder, beneficially owns through its affiliates 18.2% of our total Class A Ordinary Shares, 100.0% of our total Class B Ordinary Shares and 100.0% of our total Senior Preferred Shares, representing 55.3% of the voting power of all of our Ordinary Shares and Senior Preferred Shares as a single class. See “Item 6. Directors, Senior Management and Employees—6.E. Share Ownership.” Centurium Capital’s voting power gives it the power to control certain actions that require shareholder approval under Cayman Islands law and our memorandum and articles of association, including authorization of a plan of merger, changes to our memorandum and articles of association and an increase of our authorized share capital.</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Centurium Capital’s voting control may cause transactions to occur that might not be beneficial to our other shareholders or you as a holder of the ADSs and may prevent transactions that could have been beneficial to our other shareholders or to you. For example, Centurium Capital’s voting control may prevent a transaction involving a change of control in us, including transactions in which you as a holder of the ADSs might otherwise receive a premium for the ADSs over the then-current market price. In addition, Centurium Capital is not prohibited from selling the controlling interest in us to a third party and may do so without your approval and without providing for a purchase of your ADSs. If Centurium Capital is acquired, otherwise undergoes a change of control or is subject to a corporate restructuring, an acquirer, successor or other third party may be entitled to exercise the voting control and contractual rights of Centurium Capital, and may do so in a manner that could vary significantly from that of Centurium Capital.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or hinder our ability to offer or continue to offer securities to investors. In such events, our Ordinary Shares and ADSs could decline in value or become worthless.</w:t>
      </w:r>
    </w:p>
    <w:p>
      <w:pPr>
        <w:spacing w:after="0" w:line="18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Specifically, the PRC government has significant oversight over the conduct of our business and may intervene in our operations as the government deems appropriate, which may potentially result in a material adverse effect on our operations. The PRC government has also recently indicated an intent to exert more oversight over securities offerings that are conducted overseas and foreign investment in China-based issuers, which could impact our ability to raise capital in international capital markets. Any such action could significantly limit or completely hinder our ability to offer or continue to offer securities to investors and cause the value of such securities to significantly decline or be worthless.</w:t>
      </w:r>
    </w:p>
    <w:p>
      <w:pPr>
        <w:spacing w:after="0" w:line="1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past decades, growth has been uneven, both geographically and across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products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9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Moreover, the PRC government has significant authority to exert influence on the ability of a China-based company, like us, to conduct its business, accept foreign investments or be listed on a U.S. stock exchange. For example, we face risks associated with recent statements and regulatory actions by the PRC government, including those related to regulatory approvals of offshore securities offerings, anti-monopoly regulatory investigations and actions, cybersecurity and data privacy compliance; also, the PRC government has recently indicated an intent to exert more oversight over overseas securities offerings and published a series of laws and regulations to regulate such transactions. See “Item 4. Information on the Company–4.A. History and Development of the Company–Recent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ADSs.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PRC government may also intervene with or influence our operations as it deems appropriate to further regulatory, political and societal goals.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in China and uncertainties with respect to the PRC legal system could adversely affect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Rules and regulations in China can change quickly with little advance notice.</w:t>
      </w:r>
    </w:p>
    <w:p>
      <w:pPr>
        <w:spacing w:after="0" w:line="1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based in and primarily operating in China. Rules and regulations in China can change quickly with little advance notice. In addition, the interpretation and enforcement of PRC laws and regulations involve additional uncertainties. The PRC legal system is a civil law system based on written statutes. Unlike the common law system, prior court decisions under the civil law system may be cited for reference but have limited precedential value.</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since then has significantly enhanced the protections afforded to various forms of foreign investments in China. However, China has not developed a fully integrated legal system, and recently enacted laws and regulations may not sufficiently cover all aspects of economic activities in China. Since PRC administrative and court authorities have significant discretion in interpreting and implementing statutory provisions and contractual terms, it may be difficult to evaluate the outcome of administrative and court proceedings and the level of legal protection we enjoy.</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PCAOB is prevented from fully evaluating audits and quality control procedures of our auditor, investors may be deprived of the benefits of such PCAOB inspections.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w:t>
      </w:r>
    </w:p>
    <w:p>
      <w:pPr>
        <w:spacing w:after="0" w:line="18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December 16, 2021, the PCAOB issued the HFCA Act Determination Report to notify the SEC of its determinations that the PCAOB was unable to inspect or investigate completely registered public accounting firms headquartered in mainland China and Hong Kong,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investors may be deprived of the benefits of such PCAOB inspections.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1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Pursuant to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On December 16, 2021, the PCAOB issued the HFCA Act Determination Report to notify the SEC of its determinations that the PCAOB was unable to inspect or investigate completely registered public accounting firms headquartered in mainland China and Hong Kong, including our auditor. In May 2022, we were conclusively identified by the SEC under the HFCA Act as a Commission-Identified Issuer, in connection with our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 Act after we file this annual report on Form 20-F for the fiscal year ended December 31, 2023.</w:t>
      </w:r>
    </w:p>
    <w:p>
      <w:pPr>
        <w:spacing w:after="0" w:line="19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If we were so identified for two consecutive years, trading in our securities on U.S. markets would be prohibited under the HFCA Act. Such a trading prohibition would substantially impair your ability to sell or purchase our ADSs when you wish to do so, and the risk and uncertainty associated with delisting or trading prohibition would have a negative impact on the price of our ADSs. The threatened trading prohibition would significantly affect our ability to raise capital on terms acceptable to us, or at all, which would have a material adverse impact on our business, financial condition and prospects.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Various legislative and regulatory developments related to U.S.-listed China-based companies and other developments due to political tensions between the United States and China may have a material adverse impact on our listing and trading in the United States and the trading prices of our ADSs.</w:t>
      </w:r>
    </w:p>
    <w:p>
      <w:pPr>
        <w:spacing w:after="0" w:line="174"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We may be affected by the legislative and regulatory developments related to U.S.-listed China-based companies. For example, on July 6, 2021, the General Office of the Communist Party of China Central Committee and the General Office of the State Council issued Several Opinions Concerning Lawfully and Strictly Cracking Down Illegal Securities Activities, pursuant to which the supervision of U.S.-listed China-based companies will be strengthened and the development of relevant regulatory systems in the PRC will be promoted. Furthermore, according to the Trial Administrative Measures of Overseas Securities Offering and Listing by Domestic Companies, which became effective on March 31, 2023,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 Furthermore, on July 30, 2021, Gary Gensler, the chair of the SEC, released a statement that, among other things, outlined efforts by the SEC to seek certain disclosures from offshore issuers associated with China-based operating companies before their registration statements will be declared effective. The statement also indicated efforts of the SEC to engage in targeted additional reviews of filings for companies with significant China-based operations. Recently, there have been heightened tensions in international economic relations, such as those between the United States and China, but also as a result of the conflict in Ukraine and sanctions on Russia. In addition, the political tensions between the United States and China have escalated due to, among other things, trade disputes, the COVID-19 outbreak, sanctions imposed by the U.S. Department of the Treasury (the “Treasury”) on certain officials of the Hong Kong Special Administrative Region and the central government of the PRC and the president executive orders in August 2020 that prohibit certain transactions with certain Chinese companies and their applications.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 Our ADS prices may be materially and adversely affected as a result of investors’ general concern over China-based companies in light of any such developments.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Cash in our business in the PRC may not be available to fund operations or for other use outside of the PRC due to interventions in or the imposition of restrictions and limitations by the PRC government to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w:t>
      </w:r>
    </w:p>
    <w:p>
      <w:pPr>
        <w:spacing w:after="0" w:line="1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subsidiaries for our cash requirements, including for services of any debt we may incur. To the extent cash in the business is in the PRC or a PRC entity, the funds may not be available to fund operations or for other use outside of the PRC due to interventions in or the imposition of restrictions and limitations on the ability of Luckin Coffee Inc. or its subsidiaries by the PRC government to transfer cash.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Before January 1, 2020, each of our PRC subsidiaries as a Foreign Invested Enterprise (the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PRC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details about the applicable PRC regulations and rules relating to such cash transfers through our Group, see “Item 4. Information on the Company–4.A. History and Development of the Company–Recent Regulatory Development–Restrictions on Foreign Exchange and the Ability to Transfer Cash between Entities, Across Borders and to U.S. Investors.” and “– Governmental control of currency conversion may limit our ability to utilize our revenues effectively and affect the value of your investment.”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w:t>
      </w:r>
    </w:p>
    <w:p>
      <w:pPr>
        <w:spacing w:after="0" w:line="18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its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8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addition, on January 4, 2022,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As of the date of this annual report, we have not been required to go through a cybersecurity review by the CAC or other regulatory approvals. In addition, (a) from time to time we have been communicating with the competent authorities and will closely monitor and assess further regulatory developments regarding cybersecurity and data privacy laws, including the development on cybersecurity review, and comply with the latest regulatory requirements; (b) we endeavor to improve our data security protection technologies and plan to engage external professional consultants to advise us on cybersecurity and data protection requirements, if needed. However, there remain uncertainties as to how the Cybersecurity Review Measures would be interpreted and enforced, and to what extent it may affect us.</w:t>
      </w:r>
    </w:p>
    <w:p>
      <w:pPr>
        <w:spacing w:after="0" w:line="19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If we do not receive prior approval or complete the filing, to the extent it is required, for any of our future offerings of securities overseas or other activities in overseas capital markets, or if we inadvertently conclude that such prior approval or any filing is not required, the CSRC or other PRC regulatory agencies may take actions requiring us, or making it advisable for us, not to proceed with such activities. If we proceed with any of such activities without obtaining these regulatory agencies’ approval or completing the filing to the extent it is required, or if we are unable to comply with any new regulatory requirements, we may face regulatory actions or other sanctions from these regulatory agencies. These regulatory agencies may impose fines and penalties on our operations in China, limit our ability to pay dividends outside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Additionally, if the CSRC or other relevant PRC regulatory agencies subsequently determine that such approval is required, we cannot guarantee that we will be able to obtain such approval in a timely manner, or at all. See also “Item 4. Information on the Company–4.A. History and Development of the Company–Recent Regulatory Development –Potential CSRC Approval Required for Future Overseas Securities Offering or Other Activities in Overseas Capital markets” for details of potential approval requirements under the current PRC laws and regulations.</w:t>
      </w:r>
    </w:p>
    <w:p>
      <w:pPr>
        <w:spacing w:after="0" w:line="1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January 5, 2023, the NDRC promulgated the Administrative Measures for the Approval and Registration of Medium and Long-term Foreign Debts of Enterprises, or the NDRC Measures, effective on February 10, 2023. Pursuant to the NDRC Measures, if a PRC enterprise or an offshore enterprise controlled by a PRC enterprise wishes to issue bonds outside the PRC with a maturity of more than one year, such PRC enterprise must, in advance of issuing such bonds, file certain prescribed documents with the NDRC and obtain a registration certificate from the NDRC in respect of such issue. According to the NDRC Measures, the NDRC will decide whether to accept a submission within five working days upon receipt of the submission and is expected to issue a registration certificate within three months after it accepts the submission. The enterprise must also report certain details of the bonds to the NDRC within 10 business days upon the completion of the bond issuance. Accordingly, we are required to complete the NDRC registration for any note offering outside the PRC and with a maturity of more than one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for placing advertisements with content that is deemed inappropriate or misleading under PRC laws.</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customers misled by information on our mobile apps, website or other portals where we put our advertisements on. We may not be able to recover our losses from advertisers by enforcing the indemnification provisions in the contracts, which may result us in diverting management’s time and other resources from our business and operations to defend against these infringement claims. As a result, our business, financial condition and results of operations could be materially and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laws and regulations in the PRC relating to anti-monopoly and prohibition of unfair competition.</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promulgated the Anti-Monopoly Guidelines for the Internet Platform Economy Sector which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August 17, 2021, the SAMR issued the Provisions on Prohibition of Unfair Competition on the Internet (Draft for Comments), which prohibits business operators from using data, algorithms and other technical means to unreasonably provide different transaction information for counterparties with the same trading conditions by collecting and analyzing the transaction information of the counterparties, or the content browsed and times of browsing, or the brand and value of the terminal equipment used in transactions by the counterparties, etc., which infringes the right to know, the right of choice, and the right to fair trading of the counterparties, and disrupts the fair trading order of the market.</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on June 24, 2022, the Standing Committee of the National People’s Congress promulgated the amended PRC Anti-monopoly Law, which came into effect on August 1, 2022. The amended PRC Anti-monopoly Law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is still uncertainty how the requirement will be implemented and whether further legislation and administration activities will be entailed. The heightened regulatory scrutiny of business operators under the relevant laws and regulations may increase our compliance costs, divert significant management time and attention and our financial resources, and subject us to heightened risks and challenges. We cannot assure you that our business operations comply with the regulations and authorities’ requirements in all respects. If we are found to have any non-compliance issues by relevant authorities, we may be subject to fines and other penalties, and our reputation and business operations may be materially and adversely affected.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employment practices may be adversely impacted under the labor contract law of the PRC.</w:t>
      </w:r>
    </w:p>
    <w:p>
      <w:pPr>
        <w:spacing w:after="0" w:line="22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PRC National People’s Congress promulgated the Labor Contract Law, which became effective on January 1, 2008 and was amended on December 28, 2012, and the State Council promulgated implementing rules for the labor contract law on September 18, 2008. The labor contract law and the implementing rules impose requirements concerning, among others, the execution of written contracts between employers and employees, the time limits for probationary periods, and the length of employment contracts. The interpretation and implementation of these regulations are still evolving, our employment practices may violate the labor contract law and related regulations and we could be subject to penalties, fines or legal fees as a result. If we are subject to severe penalties or incur significant legal fees in connection with labor law disputes or investigations, our business, financial condition and results of operations may be adversely affected.</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contributions of social insurance and housing fund and late payments and fines imposed by relevant governmental authorities.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The relevant government authorities may examine whether an employer has made adequate payments of the requisite employee benefit payments, and employers who fail to make adequate payments may be subject to late payment fees, fines and/or other penalties.</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According to Notice of the General Office of the State Council on Accelerating the Reform of the “Five in One” and “One License One Code” Registration System, PRC subsidiaries shall no longer separately obtain any social insurance registration certificate. Under the Regulations on the Administration of Housing Fund, PRC subsidiaries shall register with applicable housing fund management centers and establish a special housing fund account in an entrusted bank. Both PRC subsidiaries and their employees are required to contribute to the employee benefits.</w:t>
      </w:r>
    </w:p>
    <w:p>
      <w:pPr>
        <w:spacing w:after="0" w:line="18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As of the date of this annual report, all of our PRC subsidiaries have completed the required social insurance and housing fund registration; however, we have not made adequate contributions to social insurance and housing fund for some of our employees. We have recorded accruals for the estimated underpaid amounts of social insurance and housing fund in our financial statements for the fiscal year ended December 31, 2023. Going forward, we may be required by relevant government authorities to pay any other outstanding amount, and we may also be subject to late fees or fines. If we fail to make the outstanding employee benefit plans contributions within the prescribed time frame, we may be subject to a fine of up to three times the amount of the overdue payment.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17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labor-related laws and regulations of the PRC may have an adverse impact on our financial condition and results of operations.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We engage independent third-party service providers to recruit some outsourced staff. A majority of our part-time storefront staff were such outsourced staff as of December 31, 2023. We believe that we are in compliance with labor-related laws and regulations of the PRC. However, the relevant governmental authorities may take a different view and impose punishment, such as fines, on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our employment practice could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7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w:t>
      </w:r>
    </w:p>
    <w:p>
      <w:pPr>
        <w:spacing w:after="0" w:line="1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FIEs in China, capital contributions to our PRC subsidiaries are subject to the reporting obligations to MOFCOM or their respective local branches and registration with a local bank authorized by the State Administration of Foreign Exchange (the “SAFE”). In addition, (i) any foreign loan procured by our PRC subsidiaries is required to be registered with SAFE or their respective local branches and (ii) our PRC subsidiaries may not procure loans which exceed the difference between their respective total investment amount and registered capital. Any medium-or long-term loan to be provided by us to our Former VIE must be registered with the NDRC and SAFE or its local branches. We may not be able to complete such registrations on a timely basis, with respect to future capital contributions or foreign loans by us to our PRC subsidiaries. If we fail to complete such registrations, our ability to use the proceeds of our offshore financing, and to capitalize our PRC operations may be negatively affected, which could adversely affect our liquidity and our ability to fund and expand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have a material and adverse effect on our results of operations and the value of your investment.</w:t>
      </w:r>
    </w:p>
    <w:p>
      <w:pPr>
        <w:spacing w:after="0" w:line="23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long such depreciation of Renminbi against the U.S. dollar may last and when and how the relationship between the Renminbi and the U.S. dollar may change again. All of our revenues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Senior Preferred Shares or the ADSs or for other business purposes, appreciation of the U.S. dollar against the Renminbi would have a negative effect on the U.S. dollar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6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Among other things,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are triggered. Moreover, the Anti-Monopoly Law promulgated by the Standing Committee of the NPC, which became effective in 2008, requires that transactions which are deemed concentrations and involve parties with specified turnover thresholds must be cleared by the MOFCOM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w:t>
      </w:r>
    </w:p>
    <w:p>
      <w:pPr>
        <w:spacing w:after="0" w:line="1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(the “SAFE Circular 37”), to replace the Notice on Relevant Issues Concerning Foreign Exchange Administration for Domestic Residents’ Financing and Roundtrip Investment Through Offshore Special Purpose Vehicles (the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Under SAFE Circular 37, PRC residents who make, or have prior to the implementation of SAFE Circular 37 made, direct or indirect investments in offshore special purpose vehicles (the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7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Some of our shareholders that we are aware of are subject to SAFE regulations, and some of our shareholders have completed all necessary registrations with the local SAFE branch or qualified banks as required by SAFE Circular 37. We cannot assure you, however, that all of these individuals have completed all necessary registrations required by SAFE 37 and will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Furthermore, as these foreign exchange regulations are still relatively new and their interpretation and implementation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share-based awards are subject to these regulations as our company is an overseas-listed company.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 See “Item 4. Information on the Company—4.B. Business Overview— Regulation— Regulations Relating to Stock Incentive Plans.”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adverse change in our tax treatment could have a material and adverse impact on our business and results of operations.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products and services are subject to value-added tax (the “VAT”), at a rate of 6%, 10% and 16% before April 1, 2019 and since then 6%, 9% and 13%. VAT is recorded as reduction of our revenue, which amounted to RMB564.6 million in 2021, RMB986.4 million in 2022, and RMB1,896.2 million (US$267.1 million) in 2023. If the tax authority has a different view on our VAT accounting treatment, our results of operations may be adversely affected.</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offshore companies are classified as a PRC resident enterprise for PRC enterprise income tax purposes, such classification could result in unfavorable tax consequences to us and our non-PRC shareholders and the ADS holders.</w:t>
      </w:r>
    </w:p>
    <w:p>
      <w:pPr>
        <w:spacing w:after="0" w:line="1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the PRC with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within the PRC is considered a “resident enterprise” and will be subject to the enterprise income tax on its global income at the rate of 25%. The implementation rules define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the body that exercises full and substantial control and overall management over the business, productions, personnel, accounts and properties of an enterprise. In 2009, the State Administration of Taxation (the “SAT”) issued a circular, known as SAT Circular 82, which provides certain specific criteria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text should be applied in determining the tax resident status of all offshore enterprises.</w:t>
      </w:r>
    </w:p>
    <w:p>
      <w:pPr>
        <w:spacing w:after="0" w:line="1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According to SAT Circular 82, an offshore incorporated enterprise controlled by a PRC enterprise or a PRC enterprise group will be regarded as a PRC tax resident by virtue of having its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believe our offshore companies (i.e., our companies other than PRC subsidiaries and Former VIE) are not PRC resident enterprises for PRC tax purposes.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If the PRC tax authorities determine that any of our offshore companies is a PRC resident enterprise for enterprise income tax purposes, we would be subject to PRC enterprise income on our worldwide income at the rate of 25%. Furthermore, the Company would be required to withhold a 10% tax from dividends it pays to its shareholders that are non-resident enterprises, including the holders of the ADSs. In addition, non-resident enterprise shareholders (including the ADS holders) may be subject to PRC tax at a rate of 10% on gains realized on the sale or other disposition of the ADSs, Senior Preferred Shares or Ordinary Shares, if such income is treated as sourced from within the PRC. Furthermore, if the Company is deemed a PRC resident enterprise, dividends paid to its non-PRC individual shareholders (including the ADS holders) and any gain realized on the transfer of the ADSs, Senior Preferred Shares or Ordinary Shares by such shareholders may be subject to PRC tax at a rate of 20% (which, in the case of dividends, may be withheld at source by the Company).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Any such tax may reduce the returns on your investment in the ADSs, Senior Preferred Shares or Ordinary Shares.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6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February 3, 2015, the SAT issued the Public Notice Regarding Certain Corporate Income Tax Matters on Indirect Transfer of Properties by Non-Tax Resident Enterprises (the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(the “SAT Bulletin 37”), which came into effect on December 1, 2017. The SAT Bulletin 37 further clarifies the practice and procedure of the withholding of non-resident enterprise income tax.</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ADSs</w:t>
      </w:r>
    </w:p>
    <w:p>
      <w:pPr>
        <w:spacing w:after="0" w:line="21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8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Due to this dual-class share structure, our shareholders have experienced changes to their voting powers when certain Class B Ordinary Shares are converted into Class A Ordinary Shares, and our shareholders may experience future changes in the voting powers resulting from the factors including new Class B share conversion or future share issuances, among others. As of March 31, 2024, Class B Ordinary Shares constituted 5.7% of our total issued and outstanding share capital and 37.6% of the aggregate voting power of our total issued and outstanding share capital. As of March 31, 2024, Centurium Capital and its affiliates hold 100.0% of our Class B Ordinary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 result of this dual-class share structure, the holders of our Class B Ordinary Shares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trading price of the ADSs. This concentrated control limits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April 2021, we announced that we had entered into an investment agreement (the “Investment Agreement”) with an affiliate of Centurium Capital, as the lead investor, and Joy Capital. On December 1, 2021, we announced that we closed the Investment Agreement with the lead investor, pursuant to which we issued and sold a total of 295,384,615 Senior Preferred Shares to the lead investor. On January 7, 2022, we closed the Investment Agreement with Joy Capital, pursuant to which we issued and sold a total of 12,307,692 Senior Preferred Shares to an affiliate controlled by Joy Capital.</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holders of our Senior Preferred Shares have certain rights that are preferential to the rights of the holders of our Ordinary Shares and ADSs, such as certain customary protective provisions and certain downside protection provisions intended to mitigate the impact of certain regulatory risks in connection with the previously disclosed Fabricated Transactions, including but not limited to the following.</w:t>
      </w:r>
    </w:p>
    <w:p>
      <w:pPr>
        <w:spacing w:after="0" w:line="178" w:lineRule="exact"/>
        <w:rPr>
          <w:sz w:val="20"/>
          <w:szCs w:val="20"/>
          <w:color w:val="auto"/>
        </w:rPr>
      </w:pPr>
    </w:p>
    <w:p>
      <w:pPr>
        <w:jc w:val="both"/>
        <w:ind w:left="660" w:right="20" w:hanging="309"/>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 majority of the then issued and outstanding Senior Preferred Shares shall be required for any adverse alteration to the rights and privileges of the holders of Senior Preferred Shares, any creation, authorization or issuance of any class or series of equity securities of the Company that are superior to or on a parity with the Senior Preferred Shares and certain other actions of the Company set forth in the Certificate of Designation.</w:t>
      </w:r>
    </w:p>
    <w:p>
      <w:pPr>
        <w:spacing w:after="0" w:line="180" w:lineRule="exact"/>
        <w:rPr>
          <w:rFonts w:ascii="Times New Roman" w:cs="Times New Roman" w:eastAsia="Times New Roman" w:hAnsi="Times New Roman"/>
          <w:sz w:val="18"/>
          <w:szCs w:val="18"/>
          <w:color w:val="auto"/>
        </w:rPr>
      </w:pPr>
    </w:p>
    <w:p>
      <w:pPr>
        <w:jc w:val="both"/>
        <w:ind w:left="660" w:hanging="309"/>
        <w:spacing w:after="0" w:line="25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winding-up of the Company, whether voluntary or involuntary, the holders of Senior Preferred Shares shall be entitled to receive distribution in cash out of the assets of the Company available for distribution in preference to the holders of other Shares.</w:t>
      </w:r>
    </w:p>
    <w:p>
      <w:pPr>
        <w:spacing w:after="0" w:line="177" w:lineRule="exact"/>
        <w:rPr>
          <w:rFonts w:ascii="Times New Roman" w:cs="Times New Roman" w:eastAsia="Times New Roman" w:hAnsi="Times New Roman"/>
          <w:sz w:val="18"/>
          <w:szCs w:val="18"/>
          <w:color w:val="auto"/>
        </w:rPr>
      </w:pPr>
    </w:p>
    <w:p>
      <w:pPr>
        <w:jc w:val="both"/>
        <w:ind w:left="660" w:right="20" w:hanging="309"/>
        <w:spacing w:after="0" w:line="25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Senior Preferred Share can be convertible into a number of Class A Ordinary Share(s) of the Company (or an equivalent number of ADSs) at the ratio calculated using the then-applicable conversion price, which shall initially be the original issue price and is subject to adjustment from time to time.</w:t>
      </w:r>
    </w:p>
    <w:p>
      <w:pPr>
        <w:spacing w:after="0" w:line="177" w:lineRule="exact"/>
        <w:rPr>
          <w:rFonts w:ascii="Times New Roman" w:cs="Times New Roman" w:eastAsia="Times New Roman" w:hAnsi="Times New Roman"/>
          <w:sz w:val="18"/>
          <w:szCs w:val="18"/>
          <w:color w:val="auto"/>
        </w:rPr>
      </w:pPr>
    </w:p>
    <w:p>
      <w:pPr>
        <w:jc w:val="both"/>
        <w:ind w:left="660" w:hanging="309"/>
        <w:spacing w:after="0" w:line="25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Senior Preferred Share, during the period from April 15, 2021 to the third anniversary of its original issuance, if upon an announcement or reporting by any person of any U.S. governmental authority (other than the SEC) entering into an agreement with us, imposing penalty or restriction in connection with the previously disclosed Fabricated Transactions, the trading prices of our ADSs are negatively affected, as determined in accordance with the mechanisms set forth in the Certificate of Designation, the then applicable conversion price of such Senior Preferred Share shall be adjusted downward to reflect the impact of such event.</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See “Item 10. Additional Information—10.B. Memorandum and Articles of Association—Certificate of Designation.” The existence of the aforesaid rights, preferences and privileges of our Senior Preferred Shares and other rights, preferences and privileges of our Senior Preferred Shares as set forth in the Certificate of Designation, may reduce the value of our Ordinary Shares and ADSs, cause dilution to holders of our Ordinary Shares and ADSs, result in divergent interests between the holders of our Senior Preferred Shares and the holders of our Ordinary Shares and ADSs, make it harder for us to sell ADSs in offerings in the future and/or prevent or delay a change of control.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has been and may continue to be volatile, which could result in substantial losses to investors.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ADSs were listed on NASDAQ Global Select Market (the “Nasdaq”), since our SEC-registered initial public offering in May 2019.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OTC market is a significantly more limited market than Nasdaq.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period from January 1, 2020 to June 29, 2020 (suspension by the Nasdaq of the trading of our ADSs on the Nasdaq), the daily closing trading prices of our ADSs ranged from US$1.38 to US$50.02 per ADS. Since our ADSs have been quoted on the OTC market, the daily closing trading prices of our ADSs ranged from US$1.54 to US$37.44 per ADS up to the date of this annual report. The daily closing trading prices of our ADSs ranged from US$18.03 to US$37.44 per ADS in 2023. The trading price of the ADSs has been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90" w:lineRule="exact"/>
        <w:rPr>
          <w:sz w:val="20"/>
          <w:szCs w:val="20"/>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and expansions by us or our competitors;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and services or our industry;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for our business;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additional ADSs in the public market or other equity-linked securities, or the perception of these events;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arbitrage strategy employed by certain investors in our Notes, including related short selling of our ADSs;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trading price of the ADSs. Volatility or a lack of positive performance in the trading price of the ADSs may also adversely affect our ability to retain key employees, most of whom have been granted options or other equity incentives.</w:t>
      </w:r>
    </w:p>
    <w:p>
      <w:pPr>
        <w:spacing w:after="0" w:line="18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Our involvement in such class actions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Substantial future sales or perceived potential sales of ADSs in the public market or other equity-linked securities could cause the price of ADSs to decline. See “—Risks Relating to the Fabricated Transactions, Internal Investigation, Internal Control, Offshore Restructuring and Related Matters—We have been named as a defendant in a number of lawsuits filed by purchasers of our securities, including class action lawsuits that, absent settlement, could have a material adverse impact on our business, financial condition, results of operations and cash flows, and our reputation.”</w:t>
      </w:r>
    </w:p>
    <w:p>
      <w:pPr>
        <w:spacing w:after="0" w:line="1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Sales of substantial amounts of ADSs in the public market or other equity-linked securities, or the perception that these sales could occur, could adversely affect the trading price of ADSs. Certain holders of our Ordinary Shares and Senior Preferred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the ADSs to decline.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the ADSs are limited by the terms of the deposit agreement, and you may not be able to exercise your right to direct the voting of your Class A Ordinary Shares underlying the ADSs.</w:t>
      </w:r>
    </w:p>
    <w:p>
      <w:pPr>
        <w:spacing w:after="0" w:line="16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those instructions. If we do not instruct the depositary to ask for your instructions, you can still give instructions, and the depositary may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sixth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3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periodically in the foreseeable future, you may mainly rely on a price appreciation of the ADSs for a return on your investment.</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cash dividends periodically in the foreseeable future. Therefore, you should not rely on an investment in the ADSs as a source for any future dividend income.</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and/or the convertible bond arbitrage strategy employed by investors in our Notes may drive down the trading price of the ADSs.</w:t>
      </w:r>
    </w:p>
    <w:p>
      <w:pPr>
        <w:spacing w:after="0" w:line="1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been and may in the future again become the subject of short selling, the target of harassing or other detrimental conduct by third parties. We have to expend a significant amount of resources to investigate such allegations.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for the ADSs and trading volume could decline.</w:t>
      </w:r>
    </w:p>
    <w:p>
      <w:pPr>
        <w:spacing w:after="0" w:line="1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trading price for the ADSs would likely decline. If one or more of these analysts cease coverage of our company or fail to publish reports on us regularly, we could lose visibility in the financial markets, which, in turn, could cause the trading price or trading volume for the ADSs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memorandum and articles of association and our shareholder rights plan could have a material adverse effect on the rights of holders of our Ordinary Shares and the ADSs.</w:t>
      </w:r>
    </w:p>
    <w:p>
      <w:pPr>
        <w:spacing w:after="0" w:line="16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Our memorandum and articles of association contain provisions which limit the ability of others to acquire control of our company or cause us to engage in change-of-control transactions. For example, our Board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Using such authority, we issued and sold a total of 295,384,615 Senior Preferred Shares to an affiliate of Centurium Capital and a total of 12,307,692 Senior Preferred Shares to an affiliate controlled by Joy Capital, each of which pursuant to an investment agreement that we entered into with these two investors in April 2021. For more details, see “Item 4. Information on the Company—4.A. History and Development of the Company.” Preferred shares could be issued quickly with terms calculated to delay or prevent a change in control of our company or make removal of management more difficult. If our Board decides to issue preferred shares, the trading price of the ADSs may fall and the voting and other rights of the holders of our Ordinary Shares and the ADSs may be materially and adversely affected.</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on October 14, 2021, we adopted a shareholder rights plan (the “Rights Plan”), which is filed as Exhibit 4.15 to this annual report, incorporated by reference to Exhibit 4.1 of the Company’s Current Report on Form 6-K, furnished on October 14, 2021. Pursuant to the Rights Plan, if a person or group acquires 10% or more of our shares or voting power, except as specifically permitted under the Rights Plan, our shareholders other than such acquiring person or group will have the right to purchase additional securities from us at potentially a substantial discount to those securities’ fair market value, thus causing substantial dilution to the ownership of such acquiring person or group.</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anti-takeover provisions contained in our memorandum and articles of association and the existence of the Rights Plan may discourage transactions that otherwise could involve payment of a premium over prevailing market prices for the ADSs and could have the effect of depriving our shareholders and ADS holders of an opportunity to realize such premium by discouraging third parties from seeking to obtain control of our company in a tender offer or other similar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of 2002, as well as rules subsequently implemented by the SEC, impose various requirements on the corporate governance practices of public companies. We expect to incur significant expenses and devote substantial management effort toward ensuring compliance with the requirements of Section 404 and the other rules and regulations of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expect the rules and regulations applicable to public companies to increase our legal and financial compliance costs and to make some corporate activities more time-consuming and costly. For example, as a public company, we need to adopt policies regarding internal control and disclosure control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or as executive officers.</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6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3" w:lineRule="exact"/>
        <w:rPr>
          <w:sz w:val="20"/>
          <w:szCs w:val="20"/>
          <w:color w:val="auto"/>
        </w:rPr>
      </w:pPr>
    </w:p>
    <w:p>
      <w:pPr>
        <w:ind w:left="660" w:right="20" w:hanging="309"/>
        <w:spacing w:after="0" w:line="27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2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2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36"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status as a passive foreign investment company (a “PFIC”) for U.S. federal income tax purposes for certain prior taxable years is subject to uncertainty, and there can be no assurances that we will not be a PFIC for the current or any future taxable year, which would result in adverse U.S. federal income tax consequences to U.S. investors in our ADSs or Class A Ordinary Shares.</w:t>
      </w:r>
    </w:p>
    <w:p>
      <w:pPr>
        <w:spacing w:after="0" w:line="1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determination of our PFIC status is subject to certain uncertainties and is made by applying principles and methodologies that are in some circumstances unclear.</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Because we hold a substantial amount of cash, our PFIC status for any taxable year may depend, in part, on the value of our goodwill and other intangible assets. The value of our goodwill and other intangible assets may be determined by averaging (on a quarterly basis) the excess of the sum of our market capitalization and liabilities over the value of our other assets. If the value of our goodwill for 2019 and 2020 is determined in such manner, based on the trading prices of our ADSs we believe that we were not a PFIC for our taxable years of 2019 and 2020. However, because our market capitalization declined significantly since the second quarter of 2020 and throughout 2020, there can be no assurance that the Internal Revenue Service (the “IRS”) will not assert that the true value of our goodwill for 2019 and the first quarter of 2020 is in fact lower. If the assertion of that position is successful, our PFIC status for our taxable years of 2019 and 2020 would depend on the asserted value of our goodwill and other intangible assets for those years.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Based on the composition of our income and assets and the estimated value of our assets (including goodwill and other intangible assets), we believe that we were not a PFIC for our 2023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 as discussed above, 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retail partnership model. For these reasons, our PFIC status for any taxable year is uncertain.</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our ADSs or Class A Ordinary Shares (even if we cease to be a PFIC in a later taxable year), certain adverse U.S. federal income tax consequences and additional reporting obligations will apply to such U.S. investor. See “Item 10. Additional Information—10.E. Taxation—U.S. Federal Income Tax Considerations—Passive Foreign Investment Company Rules.”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U.S. Holders should consult their tax advisers regarding our PFIC status for any taxable year.</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7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June 2017, we incorporated Lucky Coffee Inc. under the laws of the Cayman Islands as our offshore holding company, which later changed its name to Luckin Coffee Inc. in September 2017. We are known as Luckin Coffee. In June 2017, we incorporated Lucky Coffee Inc. under the laws of the British Virgin Islands as Luckin Coffee Inc.’s wholly owned subsidiary and our intermediate holding company to facilitate financing, which later changed its name to Luckin Coffee Investment Inc. in December 2017.</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Lucky Coffee (China) Limited was incorporated in June 2017 as Luckin Coffee Investment Inc.’s wholly owned subsidiary in Hong Kong, which changed its name to Luckin Coffee (Hong Kong) Limited in October 2018, or Hong Kong Luckin. In April 2019, Luckin Coffee Investment Inc. incorporated another two wholly owned subsidiaries, Luckin Coffee Roasting (Hong Kong) Limited and Luckin Coffee Roastery (Hong Kong) Limited, in Hong Kong.</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October 2017, December 2017 and March 2018, Hong Kong Luckin incorporated Beijing Luckin Coffee Co., Ltd., or Beijing WFOE, Luckin Investment (Tianjin) Co., Ltd. and Luckin Group, as its wholly owned subsidiaries in the PRC successively and began to operate coffee retail business. See “—4.C. Organizational Structure.”</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July 2018 and September 2018, Beijing WFOE entered into a series of contractual arrangements with the Former VIE established in June 2017 and its shareholders, which enabled us to obtain control over the Former VIE through Beijing WFOE. Such contractual arrangements consist of proxy agreement and power of attorney, confirmation and guarantee letters, spousal consent letter, share pledge agreement, master exclusive service agreement, business cooperation agreement and exclusive option agreement. See “—4.C. Organizational Structure—Former Contractual Arrangements with the Former VIE and Its Nominee Shareholders.”</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Luckin Coffee Inc. issued one Ordinary Share in June 2017 and issued one Ordinary Share in August 2017. In March 2018, Luckin Coffee Inc. increased Ordinary Shares to 750 shares and effected a share split, pursuant to which, the 750 Ordinary Shares were subdivided into 750,000 Ordinary Shares. After that, Luckin Coffee Inc. (i) issued 915,750 angel-1 shares, 513,000 angel-2 shares and 544,688 Series A convertible redeemable preferred shares in June 2018; (ii) issued 272,343 Series B convertible redeemable preferred shares in November 2018; (iii) issued 6,809 Series B convertible redeemable preferred shares in January 2019; and (iv) issued 188,393 Series B-1 convertible redeemable preferred shares in April 2019, to certain investors.</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May 2019, we completed the IPO in which we offered and sold an aggregate of 264,000,000 Class A Ordinary Shares in the form of ADSs. Concurrently with the IPO, we issued and sold 23,529,412 Class A Ordinary Shares to Louis Dreyfus Company B.V. Upon the IPO, 1,587,886,000 Class B Ordinary Shares and 7,605,500 Class A Ordinary Shares were automatically converted from our outstanding Ordinary Shares, angel shares and preferred shares prior to the IPO and after the 1:500 share split. On May 17, 2019, the ADSs began trading on the NASDAQ Global Select Market, under the symbol “LK.” In June 2019, we closed on the exercise in full of the over-allotment option to purchase an additional 39,600,000 Class A Ordinary Shares in the form of ADSs by the underwriters of our IPO. We received net proceeds of approximately US$607.2 million from our IPO and US$50.0 million from the concurrent private placements to Louis Dreyfus Company B.V. in May 2019 and exercise of over-allotment option after deducting underwriting discounts and commissions and other offering expenses payable by us.</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January 2020, we completed a follow-on public offering in which we and a selling shareholder offered and sold an aggregate of 110,400,000 Class A Ordinary Shares in the form of ADSs, concurrent with US$400 million 0.75% convertible senior notes due 2025 (the “Notes”). In the same month, we closed on the exercise in full of the over-allotment option to purchase an additional 16,560,000 Class A Ordinary Shares in the form of ADSs by the underwriters of our follow-on public offering and an additional US$60,000,000 principal amount of Notes by the initial purchasers of our convertible note offering. We received net proceeds of approximately US$418.3 million from our public offering in January 2020 and exercise of over-allotment option after deducting underwriting discounts and commissions and other offering expenses payable by us. And we received net proceeds of approximately US$448.5 million from our convertible note offering in January 2020 and exercise of over-allotment option after deducting initial purchasers discounts and commissions and other offering expenses payable by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May 2020, we received delisting notice from Nasdaq and requested a hearing.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July 2020, the Cayman Court appointed Alexander Lawson of Alvarez &amp; Marsal Cayman Islands Limited and Wing Sze Tiffany Wong of Alvarez &amp; Marsal Asia Limited to act as “light-touch” JPLs. The JPLs were appointed on the application of the Company in response to the presentation of a winding up petition by a creditor of the Company in the Cayman Islands. Following the JPLs’ appointment, which constituted an event of default under our convertible senior notes indenture, 100% of the principal of, and accrued and unpaid interest on, the Notes automatically became immediately due and payable. Accordingly, we took steps to negotiate a restructuring of our financial obligations owing under the Notes (the “Restructuring”), under the supervision of the JPLs. During the provisional liquidation, we operated our business under the day-to-day control of our Board under the supervision of the JPLs, in accordance with a protocol executed on October 16, 2020, which set out the terms upon which the JPLs and our Board would cooperate with respect to the management of the Company. Pursuant to the protocol, we were required to obtain the JPLs’ approval in respect of key management matters, such as our cash allocation, certain outward payments and any steps proposed to be taken by our Board outside of the ordinary course of the business of the Company and its subsidiaries. Under Cayman Islands law, no suit, action or other proceedings could be commenced or continued against the Company in the Cayman Islands during the course of the provisional liquidation, without the leave of the Cayman Court. In addition, the commencement or continuation of suits, actions or proceedings in the territorial jurisdiction of the United States against the Company and its assets in the territorial jurisdiction of the United States were stayed, to the extent provided in section 362 of title 11 of the United States Code (the “U.S. Bankruptcy Code”). This stay arose pursuant to the order of the United States Bankruptcy Court for the Southern District of New York (the “U.S. Bankruptcy Court”) entered in the case commenced with respect to us under chapter 15 of the U.S. Bankruptcy Code (the “Chapter 15 Case”). The stay remained effective for the duration of the Chapter 15 Case, which was closed on April 8,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During the provisional liquidation, we negotiated the Restructuring under the supervision of the JPLs. On March 16, 2021, we announced that we had entered into a Restructuring Support Agreement (the “RSA”) with holders of a majority of the aggregate principal amount outstanding under the Notes. We were required to complete certain milestones under the RSA, including obtaining reasonable assurance of funding outside the PRC in an amount sufficient to satisfy the cash consideration to be distributed to the holders of the Notes (the “Financing Milestone”). On June 15, 2021, we announced that we had completed the PRC regulatory approval process, including obtaining relevant approvals from The State Administration of Foreign Exchange (the “SAFE”) of the PRC through a designated PRC foreign exchange handling bank, to transfer such sufficient amount of funds out of the PRC through a planned capital reduction, which satisfied the Financing Milestone under the RSA. On September 1, 2021, we announced that the Company, the JPLs and the holders of a majority of the Notes had extended the milestone to launch the Scheme from September 1, 2021 to September 22, 2021. In accordance with the terms of the RSA (as amended), on September 20, 2021, we filed a summons and a petition in the Cayman Court seeking sanction of the Scheme and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14, 2021, we announced that the Cayman Court had sanctioned the Scheme, which became fully effective in accordance with its terms on December 17, 2021 following the entry of a final order of the U.S. Bankruptcy Court recognizing and enforcing the Scheme in the territorial jurisdiction of the United States. On December 17, 2021, the Board entered into the Scheme Supervisor Protocol by which the JPLs were appointed in the capacity as Scheme Supervisors in respect of the Company and granted certain rights, powers and duties to oversee and monitor the finances and operations of the Company and its subsidiaries beyond the end of the provisional liquidation, subject to the terms of the Scheme Supervisor Protocol.</w:t>
      </w:r>
    </w:p>
    <w:p>
      <w:pPr>
        <w:spacing w:after="0" w:line="18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January 28, 2022, the Restructuring of the Notes as contemplated by the Scheme became effective, and was substantially consummated. Subsequently, the parties to the amended winding-up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a final report was filed with the U.S. Bankruptcy Court on March 4, 2022 requesting entry of an order closing the Chapter 15 Case, and the U.S. Bankruptcy Court entered an order closing the Chapter 15 Case on April 8, 2022. In aggregate, in exchange for the Notes, we have issued consideration to creditors under the Scheme totaling US$245.5 million of cash, the New Notes and 9,527,601 ADSs representing 76,220,808 Class A Ordinary Shares, which includes 291,699 ADSs issued on April 4, 2022 pursuant to the top-up mechanism under the Scheme, of which 25,004 ADSs were not claimed by creditors and therefore 200,032 Class A Ordinary Shares underlying such unclaimed ADSs were returned to the Company. We announced the redemption in full of the New Notes on August 26, 2022, which were our only offshore debt securities. The aggregate redemption price of the New Notes was US$115.6 million, which constitutes the aggregate principal amount outstanding plus the aggregate accrued interest. The aggregate redemption price was paid from our available offshore cash balance. With the full redemption of the New Notes, the role of the Scheme Supervisors under the previously announced Scheme Supervisor Protocol was terminated. See “Note 12 Convertible Senior Notes” to the Company’s consolidated financial statements included in this annual report.</w:t>
      </w:r>
    </w:p>
    <w:p>
      <w:pPr>
        <w:spacing w:after="0" w:line="1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April 2021, we announced that we entered into the Investment Agreement with an affiliate of Centurium Capital, as the lead investor, and Joy Capital. Both Centurium Capital and Joy Capital are leading private equity investment firms in China and then current shareholders of the Company. Pursuant to the Investment Agreement, (i) Centurium Capital agreed to an investment, through a private placement, totaling US$240 million in Senior Preferred Shares of the Company, and (ii) Joy Capital agreed to an investment, through a private placement, totaling US$10 million in Senior Preferred Shares (collectively, the “Transactions”). On December 1, 2021, we announced that we closed the Investment Agreement with the lead investor, pursuant to which we issued and sold a total of 295,384,615 Senior Preferred Shares to the lead investor, with aggregate gross proceeds of US$240 million. On January 7, 2022, we closed the Investment Agreement with Joy Capital, pursuant to which we issued and sold a total of 12,307,692 Senior Preferred Shares to an affiliate controlled by Joy Capital, with aggregate gross proceeds of US$10 million. We used and plan to use the proceeds of the Transactions to facilitate the Restructuring and fulfill our obligations under the settlement with the SEC. For the SEC settlement, see “Item 8. Financial Information—8.A. Consolidated Statements and Other Financial Information—Legal Proceedings—Governmental and Regulatory Inquiries—SEC Investigation and Settlement.”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September 20, 2021, we entered into a binding term sheet with the lead plaintiffs in the provisionally certified class action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Luckin Coffee Inc. Securities Litigation</w:t>
      </w:r>
      <w:r>
        <w:rPr>
          <w:rFonts w:ascii="Times New Roman" w:cs="Times New Roman" w:eastAsia="Times New Roman" w:hAnsi="Times New Roman"/>
          <w:sz w:val="18"/>
          <w:szCs w:val="18"/>
          <w:color w:val="auto"/>
        </w:rPr>
        <w:t>, Case No.1:20-cv-01293-JPC-JLC (SDNY) to fully resolve all claims that have been or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on behalf of the provisionally certified class of purchasers Company’s ADS between May 17, 2019 through July 15, 2020, inclusive, and on October 20, 2021, we entered into a Stipulation and Agreement of Settlement reflecting the terms of the settlement (Federal Class Settlement). The amount of the Federal Class Settlement is US$175 million. The Federal Class Settlement was sanctioned by the Cayman Court overseeing the Company’s “light touch” provisional liquidation on October 21, 2021, and received final approval from the U.S. Court overseeing the class action on July 22, 2022.</w:t>
      </w:r>
    </w:p>
    <w:p>
      <w:pPr>
        <w:spacing w:after="0" w:line="18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January 21, 2022, we received a request from a Centurium Capital led buyer consortium that also includes IDG Capital and Ares SSG Capital Management (the “Buyer Consortium”) to consent to close Centurium Capital’s previously announced transaction to purchase an aggregate of 383,425,748 Class A Ordinary Shares (the “Sale Shares”) from certain sellers (the “Secondary Sale”). The sellers are Primus Investment Fund, L.P. (in official liquidation) (“Primus”), Haode Investment Inc. (in liquidation) (“Haode”) and Summer Fame Limited (in liquidation) (“Summer Fame”, and collectively with Primus and Haode, the “Sellers”). The Sellers are affiliates of and were formerly controlled by Mr. Charles Zhengyao Lu and Ms. Jenny Zhiya Qian, former management members of the Company, and their families (the “Former Management Members”). The Sellers were ordered to be wound up and are currently in liquidation pursuant to an order of the Cayman Court in respect of Primus, and pursuant to orders of the Eastern Caribbean Supreme Court in the High Court of Justice of the British Virgin Islands (the “BVI Court”) in respect of Haode and Summer Fame. The joint liquidators appointed in respect of the Sellers have exercised their statutory powers to enter into definitive documents to give effect to the Secondary Sale. Proceeds of the Secondary Sale are to be distributed by the joint liquidators to the creditors and stakeholders of each of the Sellers in accordance with the joint liquidators’ statutory duties. Accordingly, we did not receive any of the proceeds from the Secondary Sale. By judgment dated January 17, 2022, the BVI Court sanctioned transactions that form part of the Secondary Sale, as required by the securities purchase agreement that gave effect to the Secondary Sale. After careful consideration, our Board and JPLs of the Company determined the Secondary Sale to be in the long-term best interest of the Company, and accordingly approved the transaction. On January 25, 2022, after receiving consent from the Company, the Buyer Consortium closed the Secondary Sale. Upon the closing of the Secondary Sale, the Former Management Members ceased to have any interest in the Sale Shares and Centurium Capital became our controlling shareholder, holding more than 50% of the voting interest of the Company.</w:t>
      </w:r>
    </w:p>
    <w:p>
      <w:pPr>
        <w:spacing w:after="0" w:line="19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2024, we terminated the contractual arrangements that we entered through the Beijng WFOE with the Former VIE as well as its shareholders, because (i) the foreign restricted licenses and permits held through the Former VIE are not necessary for our business operations as currently conducted, and (ii) we believe the termination of these arrangements help to optimize our corporate governance structure. As a result of such termination, the financial results of the Former VIE will no longer be consolidated into our consolidated financial statements for accounting purpose since the date of termination.</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corporate headquarters is located at 28th Floor, Building T3, Haixi Jingu Plaza, 1-3 Taipei Road, Siming District, Xiamen, Fujian, PRC. Our telephone number at this address is +86-592-3386666. Our registered office in the Cayman Islands is located at the offices of Conyers Trust Company (Cayman) Limited, Cricket Square, Hutchins Drive, P.O. Box 2681, Grand Cayman, KY1-1111, Cayman Islands. Our agent for service of process in the United States is Cogency Global Inc. located at 122 East 42nd Street, 18th Floor, New York, N.Y. 10168.</w:t>
      </w:r>
    </w:p>
    <w:p>
      <w:pPr>
        <w:spacing w:after="0" w:line="18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 xml:space="preserve">The SEC maintains a website at www.sec.gov that contains reports, proxy and information statements, and other information regarding registrants that make electronic filings with the SEC using its EDGAR system. We maintain our website at </w:t>
      </w:r>
      <w:r>
        <w:rPr>
          <w:rFonts w:ascii="Times New Roman" w:cs="Times New Roman" w:eastAsia="Times New Roman" w:hAnsi="Times New Roman"/>
          <w:sz w:val="17"/>
          <w:szCs w:val="17"/>
          <w:i w:val="1"/>
          <w:iCs w:val="1"/>
          <w:color w:val="auto"/>
        </w:rPr>
        <w:t>http://investor.lkcoffee.com/</w:t>
      </w:r>
      <w:r>
        <w:rPr>
          <w:rFonts w:ascii="Times New Roman" w:cs="Times New Roman" w:eastAsia="Times New Roman" w:hAnsi="Times New Roman"/>
          <w:sz w:val="17"/>
          <w:szCs w:val="17"/>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 Measures</w:t>
      </w:r>
    </w:p>
    <w:p>
      <w:pPr>
        <w:spacing w:after="0" w:line="2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January 4, 2022,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As of the date of this annual report, uncertainties still exist in relation to the interpretation and implementation of the Cybersecurity Review Measures. Although we have not been identified as a CIIO by any regulatory authority, we cannot rule out the possibility that we, or certain of our customers or suppliers, may be deemed as a CIIO. If we are deemed as a CIIO, our purchases of network products or services, if deemed to be affecting or may affect national security, will need to be subject to cybersecurity review, before we can enter into agreements with relevant customers or suppliers, and before the conclusion of such procedures, these customers will not be allowed to use our products or services, and we are not allowed to purchase products or services from our suppliers. For details of the associated risks, see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or become subject to a cybersecurity review initiated by the CAC based on the Cybersecurity Review Measures, and we have not received any inquiry, notice, warning, sanctions in such respect or any regulatory objections to our listing status from the CAC.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Assessment Measures on Cross-border Data Transfer</w:t>
      </w:r>
    </w:p>
    <w:p>
      <w:pPr>
        <w:spacing w:after="0" w:line="221"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22, 2023, the CAC issued the Measures on the Standard Contract for Outbound Data Transfer of Personal Information, or Personal Information Outbound Transfer Standard Contract Measures, which came into effect on June 1, 2023, which provide for circumstances where personal information processors may transfer personal information abroad by entering into a standard contract, and stipulated detailed compliance requirements.</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March 22, 2024, the </w:t>
      </w:r>
      <w:r>
        <w:rPr>
          <w:rFonts w:ascii="Times New Roman" w:cs="Times New Roman" w:eastAsia="Times New Roman" w:hAnsi="Times New Roman"/>
          <w:sz w:val="18"/>
          <w:szCs w:val="18"/>
          <w:i w:val="1"/>
          <w:iCs w:val="1"/>
          <w:color w:val="auto"/>
        </w:rPr>
        <w:t>Provisions on Regulating and Promoting Cross-border Data Transfer</w:t>
      </w:r>
      <w:r>
        <w:rPr>
          <w:rFonts w:ascii="Times New Roman" w:cs="Times New Roman" w:eastAsia="Times New Roman" w:hAnsi="Times New Roman"/>
          <w:sz w:val="18"/>
          <w:szCs w:val="18"/>
          <w:color w:val="auto"/>
        </w:rPr>
        <w:t>,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Measures on Personal Information Protection Compliance Audits (Draft for Comment)</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August 3, 2023, the </w:t>
      </w:r>
      <w:r>
        <w:rPr>
          <w:rFonts w:ascii="Times New Roman" w:cs="Times New Roman" w:eastAsia="Times New Roman" w:hAnsi="Times New Roman"/>
          <w:sz w:val="18"/>
          <w:szCs w:val="18"/>
          <w:i w:val="1"/>
          <w:iCs w:val="1"/>
          <w:color w:val="auto"/>
        </w:rPr>
        <w:t>Administrative Measures on Personal Information Protection Compliance Audits (Draft for Comment)</w:t>
      </w:r>
      <w:r>
        <w:rPr>
          <w:rFonts w:ascii="Times New Roman" w:cs="Times New Roman" w:eastAsia="Times New Roman" w:hAnsi="Times New Roman"/>
          <w:sz w:val="18"/>
          <w:szCs w:val="18"/>
          <w:color w:val="auto"/>
        </w:rPr>
        <w:t>, or the Draft Measures on Compliance Audits, was proposed by the CAC for public comments until September 2, 2023. According to the Draft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 million people shall conduct personal information protection compliance audits at least once a year. Furthermore, the Draft Measures on Compliance Audits enumerate the key focus when conducting “personal information protection compliance audits”.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Measures on Reporting of Cybersecurity Incidents (Draft for Comment)</w:t>
      </w:r>
    </w:p>
    <w:p>
      <w:pPr>
        <w:spacing w:after="0" w:line="2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On December 8, 2023, the </w:t>
      </w:r>
      <w:r>
        <w:rPr>
          <w:rFonts w:ascii="Times New Roman" w:cs="Times New Roman" w:eastAsia="Times New Roman" w:hAnsi="Times New Roman"/>
          <w:sz w:val="18"/>
          <w:szCs w:val="18"/>
          <w:i w:val="1"/>
          <w:iCs w:val="1"/>
          <w:color w:val="auto"/>
        </w:rPr>
        <w:t>Administrative Measures on Reporting of Cybersecurity Incidents (Draft for Comment)</w:t>
      </w:r>
      <w:r>
        <w:rPr>
          <w:rFonts w:ascii="Times New Roman" w:cs="Times New Roman" w:eastAsia="Times New Roman" w:hAnsi="Times New Roman"/>
          <w:sz w:val="18"/>
          <w:szCs w:val="18"/>
          <w:color w:val="auto"/>
        </w:rPr>
        <w: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Provisions on the Account Information of Internet Users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CSRC Approval or Filing Required for Future Overseas Securities Offering or Other Activities in Overseas Capital Markets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These opinions call for strengthened regulation over illegal securities activities and supervision on overseas listings by China-based companies and propose to take effective measures, such as promoting the development of relevant regulatory systems to deal with the risks and incidents faced by China-based overseas-listed companies.</w:t>
      </w:r>
    </w:p>
    <w:p>
      <w:pPr>
        <w:spacing w:after="0" w:line="18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cannot assure you that we will not be required to obtain the approval of or complete the filing with the CSRC or other regulatory authorities to conduct overseas securities offerings or other activities in the overseas capital markets in the future. For details of the associated risks, see “Item 3. Key Information—3.D. Risk Factors—Risks Relating to Our Corporate Structure—The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We have been closely monitoring regulatory developments in China regarding any necessary approvals from the CSRC, the CAC, or other PRC regulatory authorities required for securities offerings and other activities in overseas capital markets. As of the date of this annual report, we have not received any inquiry, notice, warning, sanctions or regulatory objection from the CSRC in this regard.</w:t>
      </w:r>
    </w:p>
    <w:p>
      <w:pPr>
        <w:spacing w:after="0" w:line="18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Licenses and Permits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advised by our PRC legal counsel, King &amp; Wood Mallesons, our PRC subsidiaries and the Former VIE have obtained all material licenses and approvals required for our operations in China, except as disclosed in “Item 3. Key Information —3.D. Risk Factors—Risk Related to Our Business and Industry— Any lack of requisite approvals, licenses or permits applicable to our business may have a material and adverse impact on our business, financial condition and results of operations.” For risks relating to licenses and approvals required for our operations in China, see “Item 3. Key Information—3.D. Risk Factors—Risks Relating to Our Business and Industry.”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Pursuant to the relevant laws and regulations in PRC where our PRC subsidiaries and the Former VIE operate their business, we are required to maintain various approvals, licenses and permits, as well as to make certain filings, to operate our business, including business licenses, food operation licenses, environmental impact assessment filings, fire safety inspections, single-purpose prepaid card filings and commercial franchise filings. If we fail to receive or maintain the necessary licenses, permits and approvals and make the necessary filings, we may be subject to fines, confiscation of the gains derived from the related operations or the suspension of related operations. If we inadvertently conclude that certain permissions or approvals are not required while the PRC regulatory authorities take a view that is contrary to our interpretation, we may be subject to fines, confiscation of the gains derived from the related operations or the suspension of related operations. If applicable laws, regulations or interpretations change and we are required to obtain certain permissions or approvals in the future, there can be no assurance that we will be able to obtain such permissions or approvals required for our existing business operations in a timely manner or at all, which could adversely affect our business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Luckin Coffee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Luckin Coffee Inc. In particular, under the current effective PRC laws and regulations, dividends may be paid only out of distributable profits.</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the PRC. If any of our subsidiaries incurs debt on its own behalf in the future, the instruments governing such debt may restrict its ability to pay dividends to Luckin Coffee Inc. In addition, our PRC subsidiaries are required to make appropriations to certain statutory reserve funds, which are not distributable as cash dividends except in the event of a solvent liquidation of the companies.</w:t>
      </w:r>
    </w:p>
    <w:p>
      <w:pPr>
        <w:spacing w:after="0" w:line="1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 10.E. Taxation.”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21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The Holding Foreign Companies Accountable Act, or the HFCA Act,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a Commission-Identified Issuer, in connection with our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Whether the PCAOB will continue to be able to satisfactorily conduct inspections of PCAOB-registered public accounting firms headquartered in mainland China and Hong Kong in the future is subject to uncertainty and depends on a number of factors out of our, and our auditor’s, control, including the uncertainties surrounding the relationship between China and the United States.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also “Item 3. Key Information—3.D. Risk Factors—Risks Relating to Doing Business in China— 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create lucky moments and inspire.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 build a world-class coffee brand and become a part of everyone’s daily life.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Luckin, our five core values define who we are and guide us in carrying out our mission and realizing our vision:</w:t>
      </w:r>
    </w:p>
    <w:p>
      <w:pPr>
        <w:spacing w:after="0" w:line="213" w:lineRule="exact"/>
        <w:rPr>
          <w:sz w:val="20"/>
          <w:szCs w:val="20"/>
          <w:color w:val="auto"/>
        </w:rPr>
      </w:pPr>
    </w:p>
    <w:p>
      <w:pPr>
        <w:ind w:left="660" w:hanging="309"/>
        <w:spacing w:after="0" w:line="27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Integrity </w:t>
      </w:r>
      <w:r>
        <w:rPr>
          <w:rFonts w:ascii="Times New Roman" w:cs="Times New Roman" w:eastAsia="Times New Roman" w:hAnsi="Times New Roman"/>
          <w:sz w:val="18"/>
          <w:szCs w:val="18"/>
          <w:color w:val="auto"/>
        </w:rPr>
        <w:t>— We strive to be transparent and do what’s right. This includes following the rules, speaking the truth and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objective, honest and transparent.</w:t>
      </w:r>
    </w:p>
    <w:p>
      <w:pPr>
        <w:spacing w:after="0" w:line="156" w:lineRule="exact"/>
        <w:rPr>
          <w:rFonts w:ascii="Times New Roman" w:cs="Times New Roman" w:eastAsia="Times New Roman" w:hAnsi="Times New Roman"/>
          <w:sz w:val="18"/>
          <w:szCs w:val="18"/>
          <w:color w:val="auto"/>
        </w:rPr>
      </w:pPr>
    </w:p>
    <w:p>
      <w:pPr>
        <w:ind w:left="660" w:hanging="309"/>
        <w:spacing w:after="0" w:line="27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Craftsmanship </w:t>
      </w:r>
      <w:r>
        <w:rPr>
          <w:rFonts w:ascii="Times New Roman" w:cs="Times New Roman" w:eastAsia="Times New Roman" w:hAnsi="Times New Roman"/>
          <w:sz w:val="18"/>
          <w:szCs w:val="18"/>
          <w:color w:val="auto"/>
        </w:rPr>
        <w:t>— We strive to provide products and services of the highest quality. This includes maintaining strict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measures, being receptive to the needs of our customers and continuously improving our products and services.</w:t>
      </w:r>
    </w:p>
    <w:p>
      <w:pPr>
        <w:spacing w:after="0" w:line="156" w:lineRule="exact"/>
        <w:rPr>
          <w:rFonts w:ascii="Times New Roman" w:cs="Times New Roman" w:eastAsia="Times New Roman" w:hAnsi="Times New Roman"/>
          <w:sz w:val="18"/>
          <w:szCs w:val="18"/>
          <w:color w:val="auto"/>
        </w:rPr>
      </w:pPr>
    </w:p>
    <w:p>
      <w:pPr>
        <w:ind w:left="660" w:hanging="309"/>
        <w:spacing w:after="0" w:line="27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 We strive to stay curious and be open-minded about new ideas. This includes stepping out of our comfort zone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exploring ways to be at the forefront of new ideas and technology.</w:t>
      </w:r>
    </w:p>
    <w:p>
      <w:pPr>
        <w:spacing w:after="0" w:line="156" w:lineRule="exact"/>
        <w:rPr>
          <w:rFonts w:ascii="Times New Roman" w:cs="Times New Roman" w:eastAsia="Times New Roman" w:hAnsi="Times New Roman"/>
          <w:sz w:val="18"/>
          <w:szCs w:val="18"/>
          <w:color w:val="auto"/>
        </w:rPr>
      </w:pPr>
    </w:p>
    <w:p>
      <w:pPr>
        <w:ind w:left="660" w:hanging="309"/>
        <w:spacing w:after="0" w:line="27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Ownership </w:t>
      </w:r>
      <w:r>
        <w:rPr>
          <w:rFonts w:ascii="Times New Roman" w:cs="Times New Roman" w:eastAsia="Times New Roman" w:hAnsi="Times New Roman"/>
          <w:sz w:val="18"/>
          <w:szCs w:val="18"/>
          <w:color w:val="auto"/>
        </w:rPr>
        <w:t>— We strive to work with passion and reach for excellence in whatever we do. This includes having an optimistic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proactive attitude to solving problems and being accountable for our actions.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660" w:hanging="309"/>
        <w:spacing w:after="0" w:line="27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Cooperation </w:t>
      </w:r>
      <w:r>
        <w:rPr>
          <w:rFonts w:ascii="Times New Roman" w:cs="Times New Roman" w:eastAsia="Times New Roman" w:hAnsi="Times New Roman"/>
          <w:sz w:val="18"/>
          <w:szCs w:val="18"/>
          <w:color w:val="auto"/>
        </w:rPr>
        <w:t>— We strive to build an environment of trust with every partner. This includes respecting the views of our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sharing information with our partners and thinking from the perspective of our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we are one of the largest coffee networks in China in terms of the number of stores as of December 31, 2023. We have pioneered a technology-driven new retail model to provide freshly brewed coffee and tea drinks and other products with high quality, high convenience and high affordability to our customers. We believe that our disruptive model has fulfilled the large unmet demand for coffee and driven its mass market consumption in China, while allowing us to achieve significant scale and growth since our inception.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Driven by technology, our new retail model is built upon our mobile apps and store network.</w:t>
      </w:r>
    </w:p>
    <w:p>
      <w:pPr>
        <w:spacing w:after="0" w:line="215" w:lineRule="exact"/>
        <w:rPr>
          <w:sz w:val="20"/>
          <w:szCs w:val="20"/>
          <w:color w:val="auto"/>
        </w:rPr>
      </w:pPr>
    </w:p>
    <w:p>
      <w:pPr>
        <w:jc w:val="both"/>
        <w:ind w:left="660" w:right="20" w:hanging="309"/>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apps: </w:t>
      </w:r>
      <w:r>
        <w:rPr>
          <w:rFonts w:ascii="Times New Roman" w:cs="Times New Roman" w:eastAsia="Times New Roman" w:hAnsi="Times New Roman"/>
          <w:sz w:val="18"/>
          <w:szCs w:val="18"/>
          <w:color w:val="auto"/>
        </w:rPr>
        <w:t>Our mobile apps cover the entire customer purchase process, offering our customers a cashier-less 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enhances our customer experience, improves our operating efficiency, and allows us to stay connected with our customers and engage them anytime, anywhere.</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49"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network: </w:t>
      </w:r>
      <w:r>
        <w:rPr>
          <w:rFonts w:ascii="Times New Roman" w:cs="Times New Roman" w:eastAsia="Times New Roman" w:hAnsi="Times New Roman"/>
          <w:sz w:val="18"/>
          <w:szCs w:val="18"/>
          <w:color w:val="auto"/>
        </w:rPr>
        <w:t>We operate most stores on our own. We primarily operate two types of stores, namely pick-up stores and relax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for different purposes, and we strategically focus on pick-up stores, which accounted for 98.5% of our total self-operated stores as of December 31, 2023. Our pick-up stores have limited seating and are typically located in areas with high demand for coffee, such as office buildings, malls, shopping districts and university campuses. This enables us to stay close to our target coffee customers and expand rapidly with low rental and decoration costs. Additionally, we cooperate with our selective retail partners to open partnership stores they operate. We launched our retail partnership model initiative in September 2019 and opened the first partnership store in October 2019. This retail partnership model complements our existing store network expansion strategy and enables us to penetrate new markets, especially lower tier cities, more efficiently and with limited capital requirements.</w:t>
      </w:r>
    </w:p>
    <w:p>
      <w:pPr>
        <w:spacing w:after="0" w:line="1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By disrupting the status quo of the traditional coffee shop model, we have gained significant cost advantages and provided attractive value propositions to our customers.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Technology is at the core of our business. With our centralized technology system, we are able to simplify and standardize our operations to improve operational efficiency and to quickly expand and scale up our business. We leverage our operating experiences and deep understanding of the coffee market in China, which enable us to continually enhance our products and services, drive customer engagement and improve customer retention. We also leverage our proprietary technologies in store operations and supply chain to support our business, such as new store selection, inventory management and workforce management.</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offer premium freshly brewed coffee and tea drinks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Espresso blend coffee beans have won numerous awards, including the Gold Medal in the IIAC International Coffee Tasting competition in five consecutive years, from 2018 to 2022. We launched our Newer Latte in September 2020 and SOE coffee series in November 2020. We also won the Platinum Medal in the IIAC International Coffee Tasting competition in 2020 for the Yirgacheffe coffee beans used for our SOE coffee series. In 2021, we launched our Coconut milk series. In 2022, we launched our Cheese Flavored Latte. Our Coconut Milk Latte was selected as the Phenomenal Product in the 2021 Boom Grand, and our Coconut milk series and Cheese Flavored Latte were listed on Living Trend of China and won the Flavor Innovation Leading Award by New Weekly in 2021 and 2022, respectively. In 2023, we partnered with Kweichow Moutai to craft our Jiangxiang Flavored Latte, which had record-breaking sales, winning the 20th People's Craftsmanship Award - Craftsmanship Product by People’s Daily Online. Additionally, we launched our Mascarpone Cheese Latte in 2023, which sold more than 16 million cups in its first week on the market. By the end of 2023, we have eight products that have reached cumulative sales volumes of more than 100 million cups. To diversify our product offering and provide different experiences for our customers, we also partner with reputable suppliers for other products such as tea and light meals.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also been able to cultivate a large and loyal customer base and achieve strong growth. We expanded from a single trial store in Beijing to 10,598 self-operated stores and 5,620 partnership stores in more than 300 cities in China as of December 31, 2023. We also started our expansion into overseas markets with 30 self-operated stores in Singapore as of December 31, 2023. We had 230.1 million cumulative transacting customers as of December 31, 2023.</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China’s coffee market is highly underpenetrated. Inconsistent quality, high prices and inconvenience have hampered the growth of the freshly brewed coffee market in China. We believe that our model has successfully driven mass market coffee consumption in China by addressing these pain points.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following strengths contribute to our success:</w:t>
      </w:r>
    </w:p>
    <w:p>
      <w:pPr>
        <w:spacing w:after="0" w:line="217" w:lineRule="exact"/>
        <w:rPr>
          <w:sz w:val="20"/>
          <w:szCs w:val="20"/>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and fast-growing player with extensive coffee network in China;</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Pioneer of disruptive new retail model anchored upon strong technology capabilities;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product development capabilities;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propositions: high quality, high affordability and high convenience;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supply chain with high resilience and premium quality;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brand recognition.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achieve our mission and further grow our business by pursuing the following strategies:</w:t>
      </w:r>
    </w:p>
    <w:p>
      <w:pPr>
        <w:spacing w:after="0" w:line="217" w:lineRule="exact"/>
        <w:rPr>
          <w:sz w:val="20"/>
          <w:szCs w:val="20"/>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more people and further enhance customer retention and frequency;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network through a well-balanced mix of self-operated and partnership stores;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launch new product offerings with a focus on coffee-related SKUs;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enhance our technological capabilities;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optimize the management of our supply chain;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Prudently explore expansion into overseas markets;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operational efficiency by leveraging technological innovations, increased scale and enhanced organizational agility.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Store Network</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we are one of the largest coffee networks in China in terms of number of stores as of December 31, 2023. Most of our stores are self-operated and located in the economically vibrant regions in China. We primarily operate two types of stores, namely pick-up stores and relax stores, for different purposes. We strategically focus on pick-up stores, which are typically located in areas with high demand for coffee, such as office buildings, commercial areas and university campuses. This enables us to stay close to our target coffee customers and expand rapidly with low rental and decoration costs. We have been continuing to optimize our store portfolio. Following a detailed review of store performance, we strategically closed underperforming stores while opening new stores based on strict store opening criteria in strategic locations.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Self-Operated Store Model</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opened our first trial store in October 2017 and have rapidly expanded our self-operated store network. As of December 31, 2023, we had 10,628 self-operated stores in operation, including 10,470 pick-up stores and 158 relax stores. The table below sets forth a breakdown of our self-operated stores by store formats as of the dates indicated. Our self-operated store network covered more than 300 cities, the majority of which are tier I and tier II cities, as of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13"/>
        </w:trPr>
        <w:tc>
          <w:tcPr>
            <w:tcW w:w="580" w:type="dxa"/>
            <w:vAlign w:val="bottom"/>
          </w:tcPr>
          <w:p>
            <w:pPr>
              <w:spacing w:after="0"/>
              <w:rPr>
                <w:sz w:val="9"/>
                <w:szCs w:val="9"/>
                <w:color w:val="auto"/>
              </w:rPr>
            </w:pPr>
          </w:p>
        </w:tc>
        <w:tc>
          <w:tcPr>
            <w:tcW w:w="760" w:type="dxa"/>
            <w:vAlign w:val="bottom"/>
            <w:gridSpan w:val="4"/>
          </w:tcPr>
          <w:p>
            <w:pPr>
              <w:ind w:left="120"/>
              <w:spacing w:after="0" w:line="11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780" w:type="dxa"/>
            <w:vAlign w:val="bottom"/>
            <w:gridSpan w:val="4"/>
          </w:tcPr>
          <w:p>
            <w:pPr>
              <w:ind w:left="180"/>
              <w:spacing w:after="0" w:line="113" w:lineRule="exact"/>
              <w:rPr>
                <w:sz w:val="20"/>
                <w:szCs w:val="20"/>
                <w:color w:val="auto"/>
              </w:rPr>
            </w:pPr>
            <w:r>
              <w:rPr>
                <w:rFonts w:ascii="Times New Roman" w:cs="Times New Roman" w:eastAsia="Times New Roman" w:hAnsi="Times New Roman"/>
                <w:sz w:val="11"/>
                <w:szCs w:val="11"/>
                <w:b w:val="1"/>
                <w:bCs w:val="1"/>
                <w:color w:val="auto"/>
              </w:rPr>
              <w:t>June 30,</w:t>
            </w:r>
          </w:p>
        </w:tc>
        <w:tc>
          <w:tcPr>
            <w:tcW w:w="760" w:type="dxa"/>
            <w:vAlign w:val="bottom"/>
            <w:gridSpan w:val="4"/>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780" w:type="dxa"/>
            <w:vAlign w:val="bottom"/>
            <w:gridSpan w:val="4"/>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760" w:type="dxa"/>
            <w:vAlign w:val="bottom"/>
            <w:gridSpan w:val="4"/>
          </w:tcPr>
          <w:p>
            <w:pPr>
              <w:ind w:left="100"/>
              <w:spacing w:after="0" w:line="11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gridSpan w:val="3"/>
          </w:tcPr>
          <w:p>
            <w:pPr>
              <w:jc w:val="right"/>
              <w:ind w:right="107"/>
              <w:spacing w:after="0" w:line="113"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0" w:type="dxa"/>
            <w:vAlign w:val="bottom"/>
            <w:gridSpan w:val="4"/>
          </w:tcPr>
          <w:p>
            <w:pPr>
              <w:ind w:left="140"/>
              <w:spacing w:after="0" w:line="113"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gridSpan w:val="4"/>
          </w:tcPr>
          <w:p>
            <w:pPr>
              <w:ind w:left="180"/>
              <w:spacing w:after="0" w:line="113" w:lineRule="exact"/>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800" w:type="dxa"/>
            <w:vAlign w:val="bottom"/>
            <w:gridSpan w:val="3"/>
          </w:tcPr>
          <w:p>
            <w:pPr>
              <w:jc w:val="right"/>
              <w:ind w:right="47"/>
              <w:spacing w:after="0" w:line="113"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13"/>
        </w:trPr>
        <w:tc>
          <w:tcPr>
            <w:tcW w:w="58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187"/>
              <w:spacing w:after="0" w:line="113" w:lineRule="exact"/>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9"/>
                <w:szCs w:val="9"/>
                <w:color w:val="auto"/>
              </w:rPr>
            </w:pPr>
          </w:p>
        </w:tc>
        <w:tc>
          <w:tcPr>
            <w:tcW w:w="700" w:type="dxa"/>
            <w:vAlign w:val="bottom"/>
            <w:tcBorders>
              <w:top w:val="single" w:sz="8" w:color="auto"/>
              <w:bottom w:val="single" w:sz="8" w:color="auto"/>
            </w:tcBorders>
            <w:gridSpan w:val="3"/>
          </w:tcPr>
          <w:p>
            <w:pPr>
              <w:jc w:val="right"/>
              <w:ind w:right="187"/>
              <w:spacing w:after="0" w:line="113"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9"/>
                <w:szCs w:val="9"/>
                <w:color w:val="auto"/>
              </w:rPr>
            </w:pPr>
          </w:p>
        </w:tc>
        <w:tc>
          <w:tcPr>
            <w:tcW w:w="700" w:type="dxa"/>
            <w:vAlign w:val="bottom"/>
            <w:tcBorders>
              <w:top w:val="single" w:sz="8" w:color="auto"/>
              <w:bottom w:val="single" w:sz="8" w:color="auto"/>
            </w:tcBorders>
            <w:gridSpan w:val="3"/>
          </w:tcPr>
          <w:p>
            <w:pPr>
              <w:jc w:val="right"/>
              <w:ind w:right="187"/>
              <w:spacing w:after="0" w:line="113" w:lineRule="exact"/>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top w:val="single" w:sz="8" w:color="auto"/>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187"/>
              <w:spacing w:after="0" w:line="113" w:lineRule="exact"/>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9"/>
                <w:szCs w:val="9"/>
                <w:color w:val="auto"/>
              </w:rPr>
            </w:pPr>
          </w:p>
        </w:tc>
        <w:tc>
          <w:tcPr>
            <w:tcW w:w="72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9"/>
                <w:szCs w:val="9"/>
                <w:color w:val="auto"/>
              </w:rPr>
            </w:pPr>
          </w:p>
        </w:tc>
        <w:tc>
          <w:tcPr>
            <w:tcW w:w="74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gridSpan w:val="3"/>
          </w:tcPr>
          <w:p>
            <w:pPr>
              <w:jc w:val="right"/>
              <w:ind w:right="207"/>
              <w:spacing w:after="0" w:line="113"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c>
          <w:tcPr>
            <w:tcW w:w="800" w:type="dxa"/>
            <w:vAlign w:val="bottom"/>
            <w:tcBorders>
              <w:top w:val="single" w:sz="8" w:color="auto"/>
              <w:bottom w:val="single" w:sz="8" w:color="auto"/>
            </w:tcBorders>
            <w:gridSpan w:val="3"/>
          </w:tcPr>
          <w:p>
            <w:pPr>
              <w:jc w:val="right"/>
              <w:ind w:right="247"/>
              <w:spacing w:after="0" w:line="113" w:lineRule="exact"/>
              <w:rPr>
                <w:sz w:val="20"/>
                <w:szCs w:val="20"/>
                <w:color w:val="auto"/>
              </w:rPr>
            </w:pPr>
            <w:r>
              <w:rPr>
                <w:rFonts w:ascii="Times New Roman" w:cs="Times New Roman" w:eastAsia="Times New Roman" w:hAnsi="Times New Roman"/>
                <w:sz w:val="11"/>
                <w:szCs w:val="11"/>
                <w:b w:val="1"/>
                <w:bCs w:val="1"/>
                <w:color w:val="auto"/>
              </w:rPr>
              <w:t>2023</w:t>
            </w:r>
          </w:p>
        </w:tc>
      </w:tr>
      <w:tr>
        <w:trPr>
          <w:trHeight w:val="97"/>
        </w:trPr>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5"/>
              </w:rPr>
              <w:t>% of</w:t>
            </w:r>
          </w:p>
        </w:tc>
      </w:tr>
      <w:tr>
        <w:trPr>
          <w:trHeight w:val="119"/>
        </w:trPr>
        <w:tc>
          <w:tcPr>
            <w:tcW w:w="580" w:type="dxa"/>
            <w:vAlign w:val="bottom"/>
          </w:tcPr>
          <w:p>
            <w:pPr>
              <w:spacing w:after="0"/>
              <w:rPr>
                <w:sz w:val="10"/>
                <w:szCs w:val="10"/>
                <w:color w:val="auto"/>
              </w:rPr>
            </w:pP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1"/>
              </w:rPr>
              <w:t># of</w:t>
            </w:r>
          </w:p>
        </w:tc>
        <w:tc>
          <w:tcPr>
            <w:tcW w:w="38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c>
          <w:tcPr>
            <w:tcW w:w="4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38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38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4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1"/>
              </w:rPr>
              <w:t># of</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38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3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38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1"/>
              </w:rPr>
              <w:t># of</w:t>
            </w:r>
          </w:p>
        </w:tc>
        <w:tc>
          <w:tcPr>
            <w:tcW w:w="38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c>
          <w:tcPr>
            <w:tcW w:w="4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1"/>
              </w:rPr>
              <w:t># of</w:t>
            </w:r>
          </w:p>
        </w:tc>
        <w:tc>
          <w:tcPr>
            <w:tcW w:w="4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4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40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c>
          <w:tcPr>
            <w:tcW w:w="4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1"/>
                <w:szCs w:val="11"/>
                <w:b w:val="1"/>
                <w:bCs w:val="1"/>
                <w:color w:val="auto"/>
              </w:rPr>
              <w:t># of</w:t>
            </w:r>
          </w:p>
        </w:tc>
        <w:tc>
          <w:tcPr>
            <w:tcW w:w="4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3"/>
              </w:rPr>
              <w:t>total</w:t>
            </w:r>
          </w:p>
        </w:tc>
        <w:tc>
          <w:tcPr>
            <w:tcW w:w="46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1"/>
              </w:rPr>
              <w:t># of</w:t>
            </w:r>
          </w:p>
        </w:tc>
        <w:tc>
          <w:tcPr>
            <w:tcW w:w="34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35"/>
        </w:trPr>
        <w:tc>
          <w:tcPr>
            <w:tcW w:w="580" w:type="dxa"/>
            <w:vAlign w:val="bottom"/>
          </w:tcPr>
          <w:p>
            <w:pPr>
              <w:spacing w:after="0"/>
              <w:rPr>
                <w:sz w:val="11"/>
                <w:szCs w:val="11"/>
                <w:color w:val="auto"/>
              </w:rPr>
            </w:pP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stores</w:t>
            </w: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stores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stores</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stores</w:t>
            </w:r>
          </w:p>
        </w:tc>
      </w:tr>
      <w:tr>
        <w:trPr>
          <w:trHeight w:val="86"/>
        </w:trPr>
        <w:tc>
          <w:tcPr>
            <w:tcW w:w="58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8"/>
                <w:szCs w:val="8"/>
                <w:color w:val="auto"/>
              </w:rPr>
              <w:t>Pick-up</w:t>
            </w: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r>
      <w:tr>
        <w:trPr>
          <w:trHeight w:val="133"/>
        </w:trPr>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stores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3,801</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4,270</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4,841</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5,245</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5,516</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7,037</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98.2</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98.5</w:t>
            </w:r>
          </w:p>
        </w:tc>
      </w:tr>
      <w:tr>
        <w:trPr>
          <w:trHeight w:val="106"/>
        </w:trPr>
        <w:tc>
          <w:tcPr>
            <w:tcW w:w="58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Relax</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33"/>
        </w:trPr>
        <w:tc>
          <w:tcPr>
            <w:tcW w:w="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stores</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06"/>
        </w:trPr>
        <w:tc>
          <w:tcPr>
            <w:tcW w:w="5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Delivery</w:t>
            </w: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r>
      <w:tr>
        <w:trPr>
          <w:trHeight w:val="133"/>
        </w:trPr>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kitchens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13"/>
        </w:trPr>
        <w:tc>
          <w:tcPr>
            <w:tcW w:w="58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Total</w:t>
            </w: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3,939</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4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4,018</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4,206</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4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4,397</w:t>
            </w:r>
          </w:p>
        </w:tc>
        <w:tc>
          <w:tcPr>
            <w:tcW w:w="4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4,675</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4,968</w:t>
            </w:r>
          </w:p>
        </w:tc>
        <w:tc>
          <w:tcPr>
            <w:tcW w:w="4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20" w:type="dxa"/>
            <w:vAlign w:val="bottom"/>
            <w:tcBorders>
              <w:top w:val="single" w:sz="8" w:color="auto"/>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5,373</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5,652</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4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6,310</w:t>
            </w:r>
          </w:p>
        </w:tc>
        <w:tc>
          <w:tcPr>
            <w:tcW w:w="4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7,188</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8,807</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c>
          <w:tcPr>
            <w:tcW w:w="6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10,628</w:t>
            </w:r>
          </w:p>
        </w:tc>
        <w:tc>
          <w:tcPr>
            <w:tcW w:w="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Pick-up Stores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strategically focus on pick-up stores, which accounted for 98.5% of our stores as of December 31, 2023. Pick-up stores are small-sized stores where our customers can pick up their orders or have their orders delivered to them.</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pick-up stores are typically located in areas with high demand for coffee, such as office buildings, commercial areas and university campuses.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these stores generally range from 20 to 60 square meters in size and have limited seating. Such store set-up allows us to get closer to our coffee customers and expand rapidly by virtue of the low rental and decoration costs.</w:t>
      </w:r>
    </w:p>
    <w:p>
      <w:pPr>
        <w:spacing w:after="0" w:line="16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leverage delivery services to achieve greater geographic coverage and serve more customers, especially when we expand into new areas and cities. Our delivery orders as a percentage of total orders were 27.4%, 28.6%, and 19.0% in 2021, 2022, and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Relax Stores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open relax stores for branding purposes. Our relax stores accounted for 1.5% of our stores as of December 31, 2023. Relax stores are generally spacious and larger than 120 square meters in size.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Network Expansion and Development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store network strategically focuses on economically vibrant regions in China. We typically locate our self-operated stores in areas with high demand for coffee, such as office buildings, commercial areas and university campuses.</w:t>
      </w:r>
    </w:p>
    <w:p>
      <w:pPr>
        <w:spacing w:after="0" w:line="16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When entering a new city, we strategically set up pick-up stores and accumulate valuable operating experiences. We leverage such experiences and our understanding of consumer behavior to precisely identify customer demand and guide us for network expansion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Site Selection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headquarters formulates our national store expansion strategy and identifies potential sites for expansion. By leveraging our advanced technology platform, close cooperation with our city branches and our operational experience, we have developed site selection methodology that has significantly enhanced the effectiveness of our site selection. We have also devised a dedicated training program for our store development personnel, to pass on the relevant know-how to continuously optimize our site selection criteria.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and Compliance</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standard internal protocols in place guiding city branches and our strategic expansion team in obtaining necessary licenses and permits before opening our stores, including but not limited to business licenses, food operation licenses and environmental impact assessment filings. However, given local PRC administrative authorities vary in interpreting, implementing and enforcing relevant laws and regulations, we and our retail partners might not be able to obtain all applicable licenses and permits in a timely manner. See “Item 3. Key Information—3.D. Risk Factors—Risks Relating to Our Business and Industry—Any lack of requisite approvals, licenses or permits applicable to our business may have a material and adverse impact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Renovation and Other Preopening Preparation</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an in-house renovation team responsible for the renovation and decoration of our self-operated stores. To maintain our consistent brand image and store quality, our headquarters prepares the design of all stores. We adopt standardized design for our pick-up stores, and such standardization allows us to carry out renovation procedures effectively, and recycle furnishing materials efficiently. In 2021, 2022, and 2023, the average renovation and decoration expenses per our self-operated store was approximately RMB184,000, RMB181,000, and RMB206,000, respectively.</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As part of the preopening preparation, we install machines, equipment and procure raw materials as well as other materials and consumables. Typically, each of our self-operated stores is equipped with two to three coffee machines and other equipment, such as ice machine and freezer. In 2021, 2022, and 2023, the average costs for the procurement of coffee machines per our self-operated store was approximately RMB102,000, RMB97,000, and RMB112,000, respectively. For more information on procurement, see “—Supply Chain.”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Partnership Model</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Since September 2019, we started to cooperate with selective partners to operate our partnership stores. As of December 31, 2021, 2022, and 2023, we had 1,627, 2,562, and 5,620 partnership stores, respectively, covering 292 cities as of December 31, 2023.</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leverage our retail partners to efficiently expand our footprint, and we strategically select our partners to penetrate lower-tier cities. This partnership model has proved highly complementary to our self-operated store strategy. The partnership stores enable us to penetrate new markets and generate revenue without significant investment in assets. Additionally, we are able to leverage our local partners to enhance our customer insight to further improve our product design and service capabilities.</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our retail partnership model, we provide our retail partners with our storefront design and other marketing materials to ensure a consistent brand image. We also provide our partners with our logistics network, as well as raw materials and equipment. Most importantly, we provide training to our partners, and the products sold at our partnership stores are subject to our strict product quality control. To ensure our partnership stores comply with our standards, we conduct regular store operation reviews. We do not charge a franchise fee and will begin to share in the profits of our partners only when the partnership stores reach a certain profitability threshold. Such arrangement provides incentives for these partners to work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Mobile Apps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mobile apps offer customers a cashier-less environment, enabling them to purchase coffee, tea and other product items at their fingertips. Our mobile apps cover the entire customer purchase process with user-friendly interfaces. Through our mobile apps, our customers can easily choose the nearest store automatically recommended and view other store options, place orders in advance without queuing, make payment, watch live streams of the preparation of their drinks and receive real-time order status updates.</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offer an array of product selections, including coffee, tea, snacks, light meals and other products, and design our mobile apps to optimize the customer experiences. For example, once a customer adds his or her preference settings for a drink to favorites, our mobile apps will display their preference settings for the same drink the next time he or she places an order.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stores offer pick-up and/or delivery options. When placing orders, customers can choose between these two options and our mobile apps will give our customers estimated time for pick-ups or deliveries. Customers placing pick-up orders may specify the stores where they plan to pick up or dine-in. Delivery orders are assigned to the most suitable stores based on a number of factors such as the stores’ distance to the customers, order processing capacity and inventory.</w:t>
      </w:r>
    </w:p>
    <w:p>
      <w:pPr>
        <w:spacing w:after="0" w:line="18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Our mobile apps offer multiple payment options to our customers. We accept a variety of payment methods, including Weixin Pay, Alipay and Union Pay. Customers may also purchase our drinks using the vouchers stored in the “Coffee Wallet” of our Luckin mobile app.</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provide our customers with real-time updates on their orders, we have specially designed a live-streaming feature in our mobile apps to give our customers the option to watch the drinks preparation process. This feature helps us build trust among our customers and also offers them a novel customer experience.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notify customers via Weixin message, in-app notifications and short messaging service. This way, our customers can pick up their orders without queuing up at the stores. For delivery orders, we partner with our delivery service providers and provide real-time location, delivery rider contact details and estimated arrival time on our mobile apps. See “—Delivery Services.”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Furthermore, we have additional features on our mobile apps for corporate account customers. Our corporate clients may grant authorization to their employees so that their employees can place orders via the corporate account and enjoy corporate prices.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offer a wide variety of high-quality food and beverage items, mainly freshly brewed coffee. We offer both hot and iced freshly brewed coffee such as Americano, Latte, Cappuccino, Macchiato, Flat White and Mocha, and from time to time also offer specialty coffee based on market and seasonal trends. Our coffee recipes are tailored to Chinese customers’ palette based on results of extensive study and research.</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success is powered by our robust product development capabilities. We have a product development center, staffed with more than 50 dedicated employees as of December 31, 2023 and expanding, committed to developing cutting-edge product design and premium product quality. In 2023, we launched nearly 80 new SKUs of freshly brewed drinks. With our blockbuster products, such as Coconut Milk Latte, and leading frequency of product releases, we believe our product development capabilities stand at the frontline of the coffee industry in China.</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been constantly rolling out new products that became popular among customers and well recognized by KOLs. Our major selective product releases include:</w:t>
      </w:r>
    </w:p>
    <w:p>
      <w:pPr>
        <w:spacing w:after="0" w:line="161" w:lineRule="exact"/>
        <w:rPr>
          <w:sz w:val="20"/>
          <w:szCs w:val="20"/>
          <w:color w:val="auto"/>
        </w:rPr>
      </w:pPr>
    </w:p>
    <w:p>
      <w:pPr>
        <w:jc w:val="both"/>
        <w:ind w:left="660" w:hanging="309"/>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Coconut milk series</w:t>
      </w:r>
      <w:r>
        <w:rPr>
          <w:rFonts w:ascii="Times New Roman" w:cs="Times New Roman" w:eastAsia="Times New Roman" w:hAnsi="Times New Roman"/>
          <w:sz w:val="18"/>
          <w:szCs w:val="18"/>
          <w:color w:val="auto"/>
        </w:rPr>
        <w:t>. Launched in April 2021, our Coconut milk series spread quickly and widely on social media and achieved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record-breaking sales. Over 70 million cups of Coconut Milk Latte were sold in 2021. The series were listed on 2021 Living Trend of China by New Weekly, and Coconut Milk Latte was selected as the Phenomenal Product in the 2021 Boom Grand and the Next 30 in Global Tech: Innovative Consumer Products in the World Innovators Meet 2021.</w:t>
      </w:r>
    </w:p>
    <w:p>
      <w:pPr>
        <w:spacing w:after="0" w:line="176" w:lineRule="exact"/>
        <w:rPr>
          <w:rFonts w:ascii="Times New Roman" w:cs="Times New Roman" w:eastAsia="Times New Roman" w:hAnsi="Times New Roman"/>
          <w:sz w:val="18"/>
          <w:szCs w:val="18"/>
          <w:color w:val="auto"/>
        </w:rPr>
      </w:pPr>
    </w:p>
    <w:p>
      <w:pPr>
        <w:jc w:val="both"/>
        <w:ind w:left="660" w:hanging="309"/>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Velvet series</w:t>
      </w:r>
      <w:r>
        <w:rPr>
          <w:rFonts w:ascii="Times New Roman" w:cs="Times New Roman" w:eastAsia="Times New Roman" w:hAnsi="Times New Roman"/>
          <w:sz w:val="18"/>
          <w:szCs w:val="18"/>
          <w:color w:val="auto"/>
        </w:rPr>
        <w:t>. The Velvet series was another of our widely celebrated product series. Known as “the first cup of Velvet Latte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autumn” on social media, our Velvet Latte has been one of our best-sellers since its launch in September 2021. We also released our Coconut milk velvet series to promote cross- selling by leveraging the established market popularity of our Coconut milk series.</w:t>
      </w:r>
    </w:p>
    <w:p>
      <w:pPr>
        <w:spacing w:after="0" w:line="176" w:lineRule="exact"/>
        <w:rPr>
          <w:rFonts w:ascii="Times New Roman" w:cs="Times New Roman" w:eastAsia="Times New Roman" w:hAnsi="Times New Roman"/>
          <w:sz w:val="18"/>
          <w:szCs w:val="18"/>
          <w:color w:val="auto"/>
        </w:rPr>
      </w:pPr>
    </w:p>
    <w:p>
      <w:pPr>
        <w:jc w:val="both"/>
        <w:ind w:left="660" w:hanging="309"/>
        <w:spacing w:after="0" w:line="253"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SOE coffee series</w:t>
      </w:r>
      <w:r>
        <w:rPr>
          <w:rFonts w:ascii="Times New Roman" w:cs="Times New Roman" w:eastAsia="Times New Roman" w:hAnsi="Times New Roman"/>
          <w:sz w:val="18"/>
          <w:szCs w:val="18"/>
          <w:color w:val="auto"/>
        </w:rPr>
        <w:t>. Our SOE coffee series, consisting of premium items such as Yirgacheffe and Hambella, is representative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products that have received recognition from coffee professionals. Featuring the award-winning Hambella 5.0 green beans from Ethiopia, our Hambella series has been one of the most talked about coffee products on social media in China and sold quickly since its release in 2022. We also won the Platinum Medal in the IIAC International Coffee Tasting competition in 2020 for the Yirgacheffe coffee beans used for our SOE products.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left="660" w:hanging="309"/>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Newer series</w:t>
      </w:r>
      <w:r>
        <w:rPr>
          <w:rFonts w:ascii="Times New Roman" w:cs="Times New Roman" w:eastAsia="Times New Roman" w:hAnsi="Times New Roman"/>
          <w:sz w:val="18"/>
          <w:szCs w:val="18"/>
          <w:color w:val="auto"/>
        </w:rPr>
        <w:t>. Launched in September 2020, the Newer series is one of our signature innovative products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contributing to our sales. With creamy milk add-ons that balance the bitterness of natural coffee, our Newer series has been well received by Chinese consumers and successfully attracted new customers who were not used to drinking coffee.</w:t>
      </w:r>
    </w:p>
    <w:p>
      <w:pPr>
        <w:spacing w:after="0" w:line="172" w:lineRule="exact"/>
        <w:rPr>
          <w:rFonts w:ascii="Times New Roman" w:cs="Times New Roman" w:eastAsia="Times New Roman" w:hAnsi="Times New Roman"/>
          <w:sz w:val="18"/>
          <w:szCs w:val="18"/>
          <w:color w:val="auto"/>
        </w:rPr>
      </w:pPr>
    </w:p>
    <w:p>
      <w:pPr>
        <w:jc w:val="both"/>
        <w:ind w:left="660" w:hanging="309"/>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Luckin Exfreezo series</w:t>
      </w:r>
      <w:r>
        <w:rPr>
          <w:rFonts w:ascii="Times New Roman" w:cs="Times New Roman" w:eastAsia="Times New Roman" w:hAnsi="Times New Roman"/>
          <w:sz w:val="18"/>
          <w:szCs w:val="18"/>
          <w:color w:val="auto"/>
        </w:rPr>
        <w:t>. Our Exfreezo drink series is one of our most successful non-coffee products. With a wide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flavors and fast-adapting seasonal offerings, the Luckin Exfreezo series complements our product portfolio to cover incremental customer demand and to accommodate changing consumer preferences.</w:t>
      </w:r>
    </w:p>
    <w:p>
      <w:pPr>
        <w:spacing w:after="0" w:line="172" w:lineRule="exact"/>
        <w:rPr>
          <w:rFonts w:ascii="Times New Roman" w:cs="Times New Roman" w:eastAsia="Times New Roman" w:hAnsi="Times New Roman"/>
          <w:sz w:val="18"/>
          <w:szCs w:val="18"/>
          <w:color w:val="auto"/>
        </w:rPr>
      </w:pPr>
    </w:p>
    <w:p>
      <w:pPr>
        <w:jc w:val="both"/>
        <w:ind w:left="660" w:right="20" w:hanging="309"/>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Chinese tea coffee series</w:t>
      </w:r>
      <w:r>
        <w:rPr>
          <w:rFonts w:ascii="Times New Roman" w:cs="Times New Roman" w:eastAsia="Times New Roman" w:hAnsi="Times New Roman"/>
          <w:sz w:val="18"/>
          <w:szCs w:val="18"/>
          <w:color w:val="auto"/>
        </w:rPr>
        <w:t>. Inspired by the idea of the China’s top ten tea leaves, our Chinese tea-flavored coffee series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flavor of famous tea such as Biluochun and Jasmine tea with our award-winning premium coffee beans through the Ristretto Essence Concentration Process, bringing customers with a novel tasting experience.</w:t>
      </w:r>
    </w:p>
    <w:p>
      <w:pPr>
        <w:spacing w:after="0" w:line="17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Going forward, we aspire to drive the trend in coffee consumption in China and endeavor to continuously offer innovative food and beverage products that have strong demand and high quality, with a focus on freshly brewed coffee drinks.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explore supplemental product offerings in addition to coffee. For example, as tea drinks have become increasingly popular, particularly among young people in China, we offer selective tea drinks to cater to certain consumers’ preferences. We also work with reputable suppliers to offer pre-made beverages and pre-made food items, such as pastries, sandwiches and snacks.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we provide various “Luckin Pop” e-commerce offerings, such as our premium instant coffee and inspirational cups on our mobile apps and e-commerce platforms we collaborated. Such diversity of our product offerings caters to a variety of consumer needs, expands the foothold of our Luckin brand, enhances our brand power and increases customer loyalty.</w:t>
      </w:r>
    </w:p>
    <w:p>
      <w:pPr>
        <w:spacing w:after="0" w:line="17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committed to maintaining and improving product quality. We source premium Arabica coffee beans from prominent suppliers and engage World Barista Champion teams to design our coffee recipes. We also source our premium SOE coffee beans in China (Yunnan), Columbia and Ethiopia. We procure coffee machines and coffee condiments from renowned global suppliers such as Schaerer. Our coffee beans have won numerous awards, including winning the Gold Medal in the IIAC International Coffee Tasting competition for five consecutive years from 2018 to 2022. We also partner with reputable suppliers for our other products such as light meals. See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Marketing and Sales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inception, we have successfully built a premium brand of distinguished value propositions—high quality, high convenience and high affordability. We believe we are one of the leading coffee brands in China, with strong brand equity and a brand image of professionalism, youth, fashion and wellness, captured by our new slogan “Livin’ Young, Luckin On.” In 2023, we introduced a new brand proposition “Luck in Hand.” We believe that luck does not come by chance, but rather by hard work. In 2022, Luckin ranked among the Top 50 Emerging Chinese Consumption Brands with Strong Growth of the Year by CBNData. We have been recognized as the most recommended coffee chain in China by YiMagazine for three consecutive years from 2021 to 2023 and received their TopBrands award in 2023, an award that is voted on directly by consumers. Our brand ambassadors include several world-renowned baristas and celebrities welcomed especially by young generations in China. Our superior brand and distinguished value propositions allow us to expand our business through word of mouth.</w:t>
      </w:r>
    </w:p>
    <w:p>
      <w:pPr>
        <w:spacing w:after="0" w:line="1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Starting from April 2020, we have implemented two cost-effective initiatives to refine our customer operations, grow our customer base and increase our wallet share, which we believe are critical to our success. First, we leverage our operating experiences and technology capabilities to deepen our understanding of the coffee market in China and to learn and discover patterns of customer behavior, so that we are able to improve our customer experience and in turn to increase customer engagement and sales of our products. Secondly, we endeavor to build private domain traffic in our Luckin mobile app, Weixin mini program and Weixin ecosystem, cultivating a comprehensive private domain ecosystem that enables us to acquire and retain our customers with continuous consumptions. As a result of our marketing efforts and keen understanding of consumers, we successfully developed various blockbuster products that spread quickly and widely on social media and sold quickly, such as our Coconut Milk Latte, Velvet Latte, Cheese Flavored Latte, and Jiangxiang Flavored Latte, which we leveraged to expand our customer base and to enhance brand recognition. See “— Our Product Offerings.”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multi-channel branding and advertising strategy. We collaborate with popular cultural and sports icons, sponsor events and movies as well as initiate viral and interactive marketing and advertising. In addition, we leverage our existing customer base and their social networks to promote our products by strategically placing ads on social network platforms, such as Weixin, to attract customers. We also promote our products by engaging KOLs and broadcasting in trendy content channels, including video live streaming platforms to boost marketing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Services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fulfill customer orders with speedy delivery so that they can enjoy our coffee, tea and other products on time. Our delivery fee schedule is competitively priced, and we offer our customers a discount on the delivery fee if the total order value (based on item list price) exceeds a certain threshold. We have outsourced delivery services to various selected delivery companies. Through our own delivery system and the integration with delivery companies’ system, we are able to improve order-rider matching based on our store locations, customer locations and real-time locations of delivery riders, and monitor and track the delivery process. In 2023, approximately 99.7% of our orders were delivered on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Leveraging our new retail model and strong technology capabilities, we stay connected with our customers and engage them virtually anytime, anywhere. We also offer our customers a cashier-less environment, limit their queuing time, and enable them to purchase coffee, tea and other product items at their fingertips. See “—Our Mobile Apps” and “—Our Store Network.”</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mobile apps enable us to track each order placed with us. We evaluate and track our customers’ feedback 24/7 through our mobile apps, Weixin Official Account and other social media channels. Our customers can ask questions, provide reviews and file complaints through our mobile apps or Weixin Official Account or call our service representatives. We leverage self-service tools and AI-powered automated customer service chatbots to answer frequently asked questions from our customers efficiently, and also engage a dedicated customer service team to address more complicated issues.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value our customers’ opinions and encourage our customers to give reviews. We regularly analyze our customer feedback, through which we identify causes of customer dissatisfaction and improve our products and services accordingly. To motivate and maintain high-quality customer service at storefronts, we consider customer feedback a key performance indicator when evaluating individual store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source a variety of high-quality raw materials, including coffee beans, coffee condiments, ingredients, and tea leaves, as well as pre-made food and beverage items, from selected suppliers. We also purchase different equipment, such as coffee machines, ice machines, packaging materials and other consumables in bulk from our suppliers. Due to our significant scale, we are able to procure high-quality products from our suppliers at favorable prices.</w:t>
      </w:r>
    </w:p>
    <w:p>
      <w:pPr>
        <w:spacing w:after="0" w:line="18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help ensure the stable supply of our major raw materials, we have identified a number of reliable suppliers and established strong relationships with them. Moreover, we continue to deepen the penetration into the upstream of our supply chain through the meticulous design of the recipes and the stringent control over the entire production process, aiming to guarantee our product quality and improve our production efficiency. For example, we commenced the construction of our second fully automatic intelligent coffee roasting facility in Kunshan, Jiangsu in late 2022, expecting to continuously expanding the leading edge of our supply chain in terms of scale. Based on our relationships with reliable suppliers and our increasing involvement in the supply chain, we believe the risk of systematic shortage of our major raw materials is generally low. However, we may experience temporary supply shortages or transportation delays due to unexpected circumstances, such as changes in customer demand and behaviors as well as impacts of the COVID-19 pandemic. See “Item 3. Key Information—3.D. Risk Factors—Risks Relating to Our Business and Industry—Any disruption to our supply chain and delivery services would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Coffee Beans</w:t>
      </w:r>
    </w:p>
    <w:p>
      <w:pPr>
        <w:spacing w:after="0" w:line="22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source premium green coffee beans from renowned cultivation origins such as Brazil, Colombia, Ethiopia, Guatemala, and China (Yunnan). In addition, we only cooperate with reputable green coffee beans suppliers to ensure the high quality of our coffee products. As of the date of this annual report, our roasted coffee beans are supplied by our own coffee roasting plants as well as third-party factories. To solidify our control over the process of sourcing and roasting coffee beans, we are dedicated to constructing and operating our own coffee roasting plants. As of the date of this annual report, we own two coffee roasting facilities, one located in Pingnan, Fujian Province and the other in Kunshan, Jiangsu Province. We also own a green coffee beans processing facility in Baoshan, Yunnan province.</w:t>
      </w:r>
    </w:p>
    <w:p>
      <w:pPr>
        <w:spacing w:after="0" w:line="16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enhance quality control of green coffee beans, we purchase all the green coffee beans to be used by our roasted coffee bean suppliers. We set detailed specifications for green coffee beans based on their origin, including size, flavor and moisture. We employ three rounds of quality screening to ensure the quality of the green coffee beans from the coffee beans origin to the roasting facilities.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set up a designated coffee beans quality control team in our headquarters, as well as OEM production management teams at each coffee roasting facility. These teams carry out quality control checks of each batch of the roasted coffee beans. In addition, our coffee beans quality control team performs quality checks of coffee beans in our warehouses.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Condiments and Ingredients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Coffee condiments, mainly dairy products and syrup, are crucial to the overall quality of our coffee. We source our dairy products, mainly milk and cream, from leading suppliers to ensure their freshness and syrup mainly from distributors of imported syrup. We also source ingredients such as fruits from leading suppliers to ensure that we provide high-quality products for our customers.</w:t>
      </w:r>
    </w:p>
    <w:p>
      <w:pPr>
        <w:spacing w:after="0" w:line="17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Similar to coffee beans, we have in place stringent quality control measures regarding condiments and ingredients. For example, we work with our dairy suppliers in conducting various testing on dairy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 Leaves and Tea Powder</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source various kinds of premium tea leaves, including green tea, Oolong tea and black tea, and tea powder, such as matcha, from leading suppliers to ensure their fresh taste and aroma.</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set detailed specifications for the tea leaves procured by our suppliers, including weight and packaging requirements, places of origin, shape, fragrance and color of tea leaves. We conduct sample testing on tea leaves before preparing our tea drinks and reject any products which fail to meet our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Pre-made Food and Beverage Items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purchase high-quality pre-made food and beverage items, including water, pastries and breads, from a few selected national, regional and local sources. We are actively seeking additional suppliers to increase our product offerings.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require our suppliers to supply products according to agreed-upon specifications, including weight and packaging requirements for standardized products and weight of each ingredient, plate presentation and production procedures for customized products, and are entitled to return any products that fail to meet such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Machines and Equipment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use premium coffee machines and other machines and equipment from renowned global suppliers. We primarily procure coffee machines directly from manufacturers and rely on a combination of manufacturers and distributors for other machines and equipment.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coffee machines and other machines generally come with one to two years’ warranty, during which period the manufacturers will provide training on installation and maintenance of the machines and also provide free repair and maintenance services. We have also assembled an engineering team which is in charge of daily repair and maintenance of machines. We have a centralized monitoring system that automatically monitors the performance of our coffee machines and promptly reports any repair and maintenance requests. We are in the process of integrating all our coffee machines into our centralized monitoring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Materials and Other Consumables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food and beverage items, we procure a broad range of paper and plastic products, such as cups, straws and cutlery, from a number of suppliers.</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inspect the categories, specifications and qualities of our packaging materials and other consumables supplies against our standards set out in the respective supply agreements.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and Fulfillment</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currently own four warehouses that are used in connection with our roasting facilities. In regard to our store operations, we currently cooperate with three renowned third-party warehouse and fulfillment service providers, for our inventory storage, fulfilments between warehouses, and fulfilments from warehouses to our stores. Our warehouse and fulfillment service providers are responsible for the management of our inventory stored at their warehouses, in collaboration with our employees we assign to these warehouses. As of December 31, 2023, we leased more than 30 warehouses across China from third-party logistics providers.</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maintain an intelligent warehouse management system and order management system that are integrated with the systems of our warehouse and fulfilment service providers. Our systems enable real-time analysis of the sales status at each store and automated order placement with our leased warehouses for replenishment purposes. We are also able to track inventory level at each leased warehouse in realtime, and monitor and administer warehouse operations from the moment goods enter the warehouses until they are dispatched and delivered to our stores.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Safety and Quality Control</w:t>
      </w:r>
    </w:p>
    <w:p>
      <w:pPr>
        <w:spacing w:after="0" w:line="219"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We pay close attention to food safety and quality control, monitoring each step in the food and beverage preparation process from procurement to store operation and from warehousing to delivery. In 2021, we set up a cross-functional Food Safety and Quality Control Committee chaired by our CEO to oversee important food safety matters.</w:t>
      </w:r>
    </w:p>
    <w:p>
      <w:pPr>
        <w:spacing w:after="0" w:line="17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Suppliers. </w:t>
      </w:r>
      <w:r>
        <w:rPr>
          <w:rFonts w:ascii="Times New Roman" w:cs="Times New Roman" w:eastAsia="Times New Roman" w:hAnsi="Times New Roman"/>
          <w:sz w:val="18"/>
          <w:szCs w:val="18"/>
          <w:color w:val="auto"/>
        </w:rPr>
        <w:t>We carefully select our suppliers through a stringent selection process and assess the performance of our suppliers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 basis. During the supplier selection process, we review their qualifications and conduct onsite visits and inspection. Once the suppliers are on board, we monitor their daily operations and conduct regular evaluations. In our agreements with suppliers, we have in place anti-kickback policies to ensure the integrity of our food safety and quality control and procurement systems.</w:t>
      </w:r>
    </w:p>
    <w:p>
      <w:pPr>
        <w:spacing w:after="0" w:line="17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send our staff to each leased warehouse regularly to make sure that inventories are well categorized and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stored, that our suppliers and warehouse and fulfilment service providers are following our food safety and quality control protocols, and that any defective goods are immediately disposed.</w:t>
      </w:r>
    </w:p>
    <w:p>
      <w:pPr>
        <w:spacing w:after="0" w:line="17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Stores. </w:t>
      </w:r>
      <w:r>
        <w:rPr>
          <w:rFonts w:ascii="Times New Roman" w:cs="Times New Roman" w:eastAsia="Times New Roman" w:hAnsi="Times New Roman"/>
          <w:sz w:val="18"/>
          <w:szCs w:val="18"/>
          <w:color w:val="auto"/>
        </w:rPr>
        <w:t>We have established an efficient reporting structure and mechanism for monitoring the daily operations of our stores.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to maintain high-level and consistent service quality across all of our stores. We have a detailed employee code of conduct, including specific requirements on the usage and storage of raw materials and other food and beverage items, equipment handling, store environment and delivery service management. We regularly evaluate the performance of our store managers and employees, the results of which are linked to their performance-based salary and promotion opportunities. When selecting our retail partners, we usually conduct comprehensive evaluations based on a set of stringent criteria. We also provide extensive training to our retail partners. We will also supervise our retail partners, and we reserve the right to terminate our cooperation with them if they fail to adhere to our standards.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 onsite inspection to check whether the operations of stores meet our criteria of food safety and quality control. We also conduct environmental microbiological testing at our stores to ensure a hygienic coffee-making environment, and initiate proposals from time to time to improve our store operations and enhance customer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Technology is at the core of our business. Our technology covers every aspect of our business, from customer engagement, storefront operations to supply chain management. We continually leverage our operation experience to optimize our technology systems, coping with our business needs. Our focus on technologies has enabled us to optimize customer experience, operate efficiently and grow rapidly while maintaining quality control.</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leverage our capabilities in data analytics to deepen our understanding of the market. Equipped with such understanding, we are able to recommend products to our customers with more precision and personalize their menus for easy ordering, so that we can offer superior user experience to our customers and improve the efficiency of our operations.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leverage our strong technology capabilities to streamline our storefront operations and optimize workforce management. Our smart scheduling system automatically schedules staff shifts and order assignments. We also have an automated in-store inventory management system that connects our stores with our warehouses, which analyzes sales, supply and inventory status for each store in real time, and enables us to timely and sufficiently stock up our stores and limit overall waste.</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smart supply chain management system integrates intelligent warehousing management and order management functions, enabling us to accurately predict demand and manage our inventory. Supported by our strong data analytics capabilities and smart supply chain management system, we are able to intelligently forecast demand, analyze inventory and place orders directly with suppliers, which allows us to further reduce our procurement costs and improve operational efficiency.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develop and protect our intellectual property portfolio by registering our trademarks, copyrights and domain names. As of March 31, 2024, we had 1,561 registered trademarks with the Trademark Office of the PRC National Intellectual Property Administration, 29 registered copyrights of software and 22 registered copyrights of works with the PRC National Copyright Administration, 12 domain names with the Ministry of Industry and Information Technology, and 50 issued patents in PRC. As of March 31, 2024, we also had 367 registered trademarks in jurisdictions other than PRC.</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we have entered into standard employee confidentiality agreements with our technology development employees, which provide that the employees own confidentiality obligations in relation to our trade and technology secrets and we own intellectual property rights of works developed within the scope of employment of the employees.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Privacy and Data Security</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Various laws and regulations, such as the Civil Code of the PRC, the Cybersecurity Law of the PRC, the Data Security Law of the PRC, which took effect on September 1, 2021, the Personal Information Protection Law of the PRC, which took effect on November 1, 2021, the Administrative Provisions on the Account Information of Internet Users, which took effect on August 1, 2022, and the Security Assessment Measures, which took effect on September 1, 2022, govern the collection, use, retention, sharing and security of the personal data we receive from and about our users. Privacy groups and government bodies have increasingly scrutinized the ways in which companies link personal identities and data associated with particular users with data collected through the internet, and we expect such scrutiny to continue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adopted policies, procedures and guidelines and update these policies, procedures and guidelines from time to time, in order to comply with these laws and regulations and protect the personal privacy of our customers and the security of their data. We also conduct regular information security training for our employees to further elevate their awareness. In addition, we have a dedicated cybersecurity team, which is responsible for formulating and implementing systems related to user privacy and data security, as well as monitoring system vulnerabilities and detecting coding errors. To keep abreast with recent regulatory developments, we have engaged external cybersecurity experts to advise on and evaluate the security performance of our information system and maintained active communication with regulatory authorities. Our information technology system’s level of classified protection is graded at level 3 pursuant to the Information Security Technology – Evaluation Requirement for Classified Protection of Cybersecurity issued by the PRC Standardization Administration. Our self-developed Luckin mobile app has passed the evaluation by the China Cybersecurity Review Technology and Certification Center (the “CCRC”) and obtained the CCRC-APP security certification. In 2022, we were accredited to ISO27001 Information Security Management System certification by British Standards Institution (the “BSI”). In 2023, we were accredited to ISO27701 Privacy Information Management System certification and ISO38505 Data Governance certification.</w:t>
      </w:r>
    </w:p>
    <w:p>
      <w:pPr>
        <w:spacing w:after="0" w:line="15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For details of our cybersecurity management system and governance structure, see “Item 16K. Cybersecurity.” For details of our risks relating to cybersecurity, see also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face intense competition in China’s coffee industry and food and beverage sector in general. Our current or potential competitors are mainly coffee shop operators.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principal competitive factors in China coffee industry include the following:</w:t>
      </w:r>
    </w:p>
    <w:p>
      <w:pPr>
        <w:spacing w:after="0" w:line="217" w:lineRule="exact"/>
        <w:rPr>
          <w:sz w:val="20"/>
          <w:szCs w:val="20"/>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network;</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management and operating efficiency;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customer service;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we are well positioned to effectively compete on the basis of the factors listed above. However, our competitors may have longer operating history, greater brand recognition, more capital, better supplier relationships and a larger customer base. For discussion of risks relating to our competitors, see “Item 3. Key Information—3.D. Risk Factors—Risks Relating to Our Business and Industry—We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Development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Sustainable Development Committee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To enhance our environmental, social and corporate governance (ESG) initiatives, the Board has established a Sustainable Development Committee, comprised of certain directors, executives and external experts, to advise the Board in fulfilling its oversight responsibilities with regard to sustainability matters. The Sustainable Development Committee is co-chaired by Mr. Weihao (Michael) Chen and Dr. Jinyi Guo, who will be responsible for developing and implementing sustainability related initiatives, policies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Sustainable Development Strategy</w:t>
      </w:r>
    </w:p>
    <w:p>
      <w:pPr>
        <w:spacing w:after="0" w:line="219"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October 2023, we announced our sustainable development strategy </w:t>
      </w:r>
      <w:r>
        <w:rPr>
          <w:rFonts w:ascii="Times New Roman" w:cs="Times New Roman" w:eastAsia="Times New Roman" w:hAnsi="Times New Roman"/>
          <w:sz w:val="18"/>
          <w:szCs w:val="18"/>
          <w:i w:val="1"/>
          <w:iCs w:val="1"/>
          <w:color w:val="auto"/>
        </w:rPr>
        <w:t>Being a Force for a Brighter Future</w:t>
      </w:r>
      <w:r>
        <w:rPr>
          <w:rFonts w:ascii="Times New Roman" w:cs="Times New Roman" w:eastAsia="Times New Roman" w:hAnsi="Times New Roman"/>
          <w:sz w:val="18"/>
          <w:szCs w:val="18"/>
          <w:color w:val="auto"/>
        </w:rPr>
        <w:t>, along with three key strategic issues for sustainable development to guide our sustainable development practices.</w:t>
      </w:r>
    </w:p>
    <w:p>
      <w:pPr>
        <w:spacing w:after="0" w:line="16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The strategy is divided into three main parts: </w:t>
      </w:r>
      <w:r>
        <w:rPr>
          <w:rFonts w:ascii="Times New Roman" w:cs="Times New Roman" w:eastAsia="Times New Roman" w:hAnsi="Times New Roman"/>
          <w:sz w:val="18"/>
          <w:szCs w:val="18"/>
          <w:i w:val="1"/>
          <w:iCs w:val="1"/>
          <w:color w:val="auto"/>
        </w:rPr>
        <w:t>Boosting Sustainable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Co-Building a Responsible Value Chain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Creating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Better Planet</w:t>
      </w:r>
      <w:r>
        <w:rPr>
          <w:rFonts w:ascii="Times New Roman" w:cs="Times New Roman" w:eastAsia="Times New Roman" w:hAnsi="Times New Roman"/>
          <w:sz w:val="18"/>
          <w:szCs w:val="18"/>
          <w:color w:val="auto"/>
        </w:rPr>
        <w:t>, which represent our sustainable development vision and the direction we plan to pursue for our company, for the value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the wider social environment, respectively. Starting with robust development of our company, we collaborate with partners and consumers to continuously engage in sustainable practices, lead sustainable development in our industry, influence the younger generation of consumers to foster sustainable values, and gather strength to forge a better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Joining the United Nations Global Compact</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joined the United Nations Global Compact, committing alongside global business members to adhere to the Ten Principles regarding human rights, labor standards, environmental protection and anti-corruption.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Carbon Management and Practices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April 2023, to effectively promote the collection and management of greenhouse gas emissions data and to advance our carbon strategy scientifically and effectively, we established a Climate Change and Carbon Neutrality Subcommittee and a working group under the guidance of the co-chairman of the Sustainable Development Committee, actively engaging in managing our climate change and carbon neutrality efforts.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August 2023, we completed our first company-wide carbon inventory verification, and completed a calculation, exploration and verification of the carbon footprint of certain of our products. The scope of the company-wide verification included our office areas, factories, and stores, laying the foundation for setting carbon reduction targets. At the 2023 Luckin Coffee Partner Summit, based on the idea of “reduce emissions before offsetting”, we integrated sustainable practices to achieve carbon neutrality for the summit.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Supporting Emergency Relief Activities and Actively Undertaking Social Responsibility Initiatives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become more actively involved in practicing corporate social responsibility and promoting the implementation of public welfare practices. In August 2023, severely affected by Typhoon Dousuri, the city of Zhuozhou in Hebei Province suffered from flood disasters. We donated RMB5 million through the China Rural Development Foundation to help provide emergency relief, community health and epidemic prevention assistance, transitional housing for affected people, and post-disaster reconstruction in the affected areas. In December 2023, following a 6.2 magnitude earthquake in Jishishan County, Gansu Province, we once again donated RMB5 million through the China Rural Development Foundation to support emergency relief activities and post-disaster reconstruction.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Report</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released our Corporate Governance Report for the period from January 1, 2020 to September 30, 2022, highlighting the Company’s focus on corporate innovation and sustainable development, and is aimed at helping Luckin Coffee stakeholders better understand its operations and long-term strategic priorities. The full report is available on the Company’s website: https://investor.lkcoffee.com/corporate-governance/governance.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report discloses information and developments on Luckin Coffee’s strengthened corporate governance concepts, structure and practices. Below are some of the key highlights of our corporate governance initiatives and practices, as outlined in the report:</w:t>
      </w:r>
    </w:p>
    <w:p>
      <w:pPr>
        <w:spacing w:after="0" w:line="163" w:lineRule="exact"/>
        <w:rPr>
          <w:sz w:val="20"/>
          <w:szCs w:val="20"/>
          <w:color w:val="auto"/>
        </w:rPr>
      </w:pPr>
    </w:p>
    <w:p>
      <w:pPr>
        <w:ind w:left="660" w:hanging="309"/>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the Company’s core values of integrity, craftsmanship, innovation, ownership and cooperation;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Reshaped corporate governance structure to enable a multi-faceted supervision system with clear segregation of duties;</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“Three Lines of Defense” risk management structure which utilizes a cross-organizational, multi-functional audit and control mechanism;</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Sustainable Development Committee and introduced an environmental, social and governance framework;</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strict quality-control measures, guided by Food Safety and Quality Control Committee which identifies, assesses, mitigates and continuously monitors all product quality-related risks;</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stringent raw material management system to ensure product quality and safety and integrate ethical supply chain practices;</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multiple training programs to support the diversity and the rapid growth of the Company’s personnel; nearly 50% of full-time staff are women.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Strategic Direction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announced our sustainability strategic direction: we plan to leverage the advantages of the internet and digitalization, starting from the promotion of a sustainable business model, the construction of sustainable value chain and the cultivation of sustainable social ecology, to link a wider range of value chain partners, and strive to create value for the economy, society and environment. Based on this, we aim to develop the sustainable development strategy, goals and commitments of Luckin Coffee within 2024, and promote comprehensive sustainable development practices with a scientific and prudent attitude.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Licenses and Permits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compliance requirements related to our business, including applicable licenses and permits, see “Item 4. Information on the Company—4.B. Business Overview—Regulation.” For risks in relation to deficiencies of applicable license and permits, see “Item 3. Key Information—3.D. Risk Factors—Risks Relating to Our Business and Industry—Any lack of requisite approvals, licenses or permits applicable to our business may have a material and adverse impact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to providing social security insurance including medical insurance, maternity insurance, workplace injury insurance, unemployment insurance and pension benefits for all of our full-time employees, we further provide supplemental health insurance plans for our full-time employees to promote their well-being. Consistent with customary industry practice in China, we do not have adequate business interruption insurance to cover our operations and potential product liabilities. We have obtained insurance to cover certain potential risks and liabilities, such as public liability insurance, property all risks, engineering all risks and safety manufacturing insurance. See “Item 3. Key Information—3.D. Risk Factors—Risks Relating to Our Business and Industry—We have limited insurance coverage, which could expose us to significant costs and business disruption.”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enjoy the following benefits:</w:t>
      </w:r>
    </w:p>
    <w:p>
      <w:pPr>
        <w:spacing w:after="0" w:line="163" w:lineRule="exact"/>
        <w:rPr>
          <w:sz w:val="20"/>
          <w:szCs w:val="20"/>
          <w:color w:val="auto"/>
        </w:rPr>
      </w:pPr>
    </w:p>
    <w:p>
      <w:pPr>
        <w:ind w:left="660" w:hanging="309"/>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163" w:lineRule="exact"/>
        <w:rPr>
          <w:sz w:val="20"/>
          <w:szCs w:val="20"/>
          <w:color w:val="auto"/>
        </w:rPr>
      </w:pPr>
    </w:p>
    <w:p>
      <w:pPr>
        <w:ind w:left="660" w:hanging="309"/>
        <w:spacing w:after="0" w:line="27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a most of our assets are located in China. In addition, most of our directors and executive officers are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have appointed Cogency Global Inc. as our agent upon whom process may be served in any action brought against us under the securities laws of the United States.</w:t>
      </w:r>
    </w:p>
    <w:p>
      <w:pPr>
        <w:spacing w:after="0" w:line="16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Harney Westwood &amp; Riegels, our counsel as to Cayman Islands law, and King &amp; Wood Mallesons, our counsel as to PRC law, have advised us, respectively, that there is uncertainty as to whether the courts of the Cayman Islands and China, respectively, would: recognize or enforce judgments of United States courts obtained against us or our directors or officers predicated upon the civil liability provisions of the securities laws of the United States or any state in the United States; or entertain original actions brought in each respective jurisdiction against us or our directors or officers predicated upon the securities laws of the United States or any state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been advised by our Cayman Islands legal counsel, Harney Westwood &amp; Riegels,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at common law,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have been advised by King &amp; Wood Mallesons,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Mallesons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China or our shareholders’ rights to receive dividends and other distributions from 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Food Safety and Licensing Requirement for Customer Food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Law</w:t>
      </w:r>
    </w:p>
    <w:p>
      <w:pPr>
        <w:spacing w:after="0" w:line="21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Food Safety Law</w:t>
      </w:r>
      <w:r>
        <w:rPr>
          <w:rFonts w:ascii="Times New Roman" w:cs="Times New Roman" w:eastAsia="Times New Roman" w:hAnsi="Times New Roman"/>
          <w:sz w:val="18"/>
          <w:szCs w:val="18"/>
          <w:color w:val="auto"/>
        </w:rPr>
        <w:t xml:space="preserve"> of the PRC, or the Food Safety Law, as effective on June 1, 2009 and most recently amended on April 29, 2021, the State Counsel implements a licensing system for the food production and trading. A person who engages in food production, food selling or catering services shall obtain the license in accordance with the Food Safety Law.</w:t>
      </w:r>
    </w:p>
    <w:p>
      <w:pPr>
        <w:spacing w:after="0" w:line="17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According to the Food Safety Law, the State Council shall establish a food safety committee whose duties shall be defined by the State Council. The food safety supervision and administration department under the State Council shall exercise supervision and administration over food production and trading activities according to the duties defined by the law and the State Council. The health administrative department under the State Council shall organize the implementation of risk monitoring and risk assessment of food safety according to the duties defined by the Food Safety Law, and shall formulate and issue national food safety standards together with the food safety supervision and administration department under the State Council. Other relevant departments under the State Council shall carry out relevant food safety work according to the duties defined by the Food Safety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Food Safety Law sets out, as penalties for violation, various legal liabilities in the form of warnings, orders to rectify, confiscations of illegal gains, confiscations of utensils, equipment, raw materials and other articles used for illegal production and operation, fines, recalls and destruction of food in violation of laws and regulations, orders to suspend production and/or operation, revocations of production and/or operation license, and even criminal punishment.</w:t>
      </w:r>
    </w:p>
    <w:p>
      <w:pPr>
        <w:spacing w:after="0" w:line="17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Implementation Rules of the Food Safety Law</w:t>
      </w:r>
      <w:r>
        <w:rPr>
          <w:rFonts w:ascii="Times New Roman" w:cs="Times New Roman" w:eastAsia="Times New Roman" w:hAnsi="Times New Roman"/>
          <w:sz w:val="18"/>
          <w:szCs w:val="18"/>
          <w:color w:val="auto"/>
        </w:rPr>
        <w:t>, as effective on July 20, 2009 and most recently amended on October 11, 2019 and effective on December 1, 2019, further specify the detailed measures to be taken and conformed to food producers and business operators in order to ensure food safety as well as the penalties that shall be imposed should these required measures not be implemented.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Operation Licensing</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Measures for Food Operation Licensing and Filing</w:t>
      </w:r>
      <w:r>
        <w:rPr>
          <w:rFonts w:ascii="Times New Roman" w:cs="Times New Roman" w:eastAsia="Times New Roman" w:hAnsi="Times New Roman"/>
          <w:sz w:val="18"/>
          <w:szCs w:val="18"/>
          <w:color w:val="auto"/>
        </w:rPr>
        <w:t xml:space="preserve"> was promulgated on June 15, 2023 by SAMR and took effect on December 1, 2023, which vacated the former </w:t>
      </w:r>
      <w:r>
        <w:rPr>
          <w:rFonts w:ascii="Times New Roman" w:cs="Times New Roman" w:eastAsia="Times New Roman" w:hAnsi="Times New Roman"/>
          <w:sz w:val="18"/>
          <w:szCs w:val="18"/>
          <w:i w:val="1"/>
          <w:iCs w:val="1"/>
          <w:color w:val="auto"/>
        </w:rPr>
        <w:t>Administrative Measures for Food Operation Licensing</w:t>
      </w:r>
      <w:r>
        <w:rPr>
          <w:rFonts w:ascii="Times New Roman" w:cs="Times New Roman" w:eastAsia="Times New Roman" w:hAnsi="Times New Roman"/>
          <w:sz w:val="18"/>
          <w:szCs w:val="18"/>
          <w:color w:val="auto"/>
        </w:rPr>
        <w:t xml:space="preserve"> promulgated by the China Food and Drug Administration. According to the </w:t>
      </w:r>
      <w:r>
        <w:rPr>
          <w:rFonts w:ascii="Times New Roman" w:cs="Times New Roman" w:eastAsia="Times New Roman" w:hAnsi="Times New Roman"/>
          <w:sz w:val="18"/>
          <w:szCs w:val="18"/>
          <w:i w:val="1"/>
          <w:iCs w:val="1"/>
          <w:color w:val="auto"/>
        </w:rPr>
        <w:t>Administrative Measures for Food Operation Licensing and Filing</w:t>
      </w:r>
      <w:r>
        <w:rPr>
          <w:rFonts w:ascii="Times New Roman" w:cs="Times New Roman" w:eastAsia="Times New Roman" w:hAnsi="Times New Roman"/>
          <w:sz w:val="18"/>
          <w:szCs w:val="18"/>
          <w:color w:val="auto"/>
        </w:rPr>
        <w:t>, a food operation license shall be obtained in accordance with the law to engage in food selling and catering services within China. A food operator engaged in food operating service in different sites shall obtain food operation licenses or complete filing separately. An application for food operation license shall be filed according to food operators’ types and the item of its operation. The issuance date of a food operation license is the date when the decision on granting the license is made and the license is valid for five years. Food operators shall hang or place their food operation license originals or display its electronic food operation license in prominent places of their operation sites.</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Where the licensing items that are indicated on a food operation license change, the food operator shall, within ten business days after the changes take place, apply to the market regulation authority that originally issued the license for alteration of the operation license. Those who fail to obtain a food operation license and engage in food operation activities shall be punished by the local market regulation authorities at or above the county level according to Article 122 of the Food Safety Law, which states that the authorities shall confiscate their illegal income, the food or food additives illegally produced or dealt in, and the tools, equipment, raw materials, and other items used for illegal production or operation; and impose a fine of not less than RMB50,000 but not more than RMB100,000 on them if the goods value of the food or food additives illegally produced or dealt in is less than RMB10,000 or a fine of not less than 10 times but not more than 20 times the goods value if the goods value is RMB10,000 or more.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Catering Services</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Measures for the Supervision and Administration of the Safety of Food Offered through Online Catering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as effective on January 1, 2018 and amended on October 23, 2020, online catering service providers shall have their own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have obtained the food operation licenses according to the law, and shall carry out business activities pursuant to the business forms and business items specified on their own food operation licenses, and they shall not do business beyond the business scope. The provider of a third-party online catering service platform shall, within 30 business days upon approval by the competent communications department, undergo the recordation formalities with the provincial food and drug supervision and administration department at the place where it is located. A catering service provider with a self-built website shall, within 30 business days after undergoing the recordation formalities with the competent communications department, undergo the recordation formalities with the food and drug administrative authority at the county level at the place where it is located. The headquarters of a catering service chain company that provides online trading service for its stores by its website shall be governed by reference to the requirements on providers of third-party online catering service platforms.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Single-Purpose Commercial Prepaid Cards</w:t>
      </w:r>
    </w:p>
    <w:p>
      <w:pPr>
        <w:spacing w:after="0" w:line="21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Measures for Single-Purpose Commercial Prepaid Cards (for Trial Implementation)</w:t>
      </w:r>
      <w:r>
        <w:rPr>
          <w:rFonts w:ascii="Times New Roman" w:cs="Times New Roman" w:eastAsia="Times New Roman" w:hAnsi="Times New Roman"/>
          <w:sz w:val="18"/>
          <w:szCs w:val="18"/>
          <w:color w:val="auto"/>
        </w:rPr>
        <w:t xml:space="preserve"> were issued on September 21, 2012, and amended on August 18, 2016. The law applies to business in the retail industry, accommodation and catering industry, and resident service industry that conduct single-purpose commercial prepaid card business within China. A card issuer shall undergo filing formalities within 30 days from the day it conducts single-purpose card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Environmental Protection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Protection Law</w:t>
      </w:r>
    </w:p>
    <w:p>
      <w:pPr>
        <w:spacing w:after="0" w:line="2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Environmental Protection Law</w:t>
      </w:r>
      <w:r>
        <w:rPr>
          <w:rFonts w:ascii="Times New Roman" w:cs="Times New Roman" w:eastAsia="Times New Roman" w:hAnsi="Times New Roman"/>
          <w:sz w:val="18"/>
          <w:szCs w:val="18"/>
          <w:color w:val="auto"/>
        </w:rPr>
        <w:t xml:space="preserve">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and other public hazards and safeguarding people’s health.</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Installations for the prevention and control of pollution in construction projects must be designed, built and commissioned together with the principal part of the project.</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Environmental Protection Law makes it clear that the legal liabilities of any violation of said law include warning, fine, rectification within a time limit, compulsory ceasing of operation, compulsory reinstallation of dismantled installations of the prevention and control of pollution or compulsory reinstallation of those left idle, compulsory shutout or closedown, or even criminal punishment.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on Environment Impact Assessment</w:t>
      </w:r>
    </w:p>
    <w:p>
      <w:pPr>
        <w:spacing w:after="0" w:line="1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Pursuant to the </w:t>
      </w:r>
      <w:r>
        <w:rPr>
          <w:rFonts w:ascii="Times New Roman" w:cs="Times New Roman" w:eastAsia="Times New Roman" w:hAnsi="Times New Roman"/>
          <w:sz w:val="17"/>
          <w:szCs w:val="17"/>
          <w:i w:val="1"/>
          <w:iCs w:val="1"/>
          <w:color w:val="auto"/>
        </w:rPr>
        <w:t>Law of the People’s Republic of China on Environment Impact Assessment</w:t>
      </w:r>
      <w:r>
        <w:rPr>
          <w:rFonts w:ascii="Times New Roman" w:cs="Times New Roman" w:eastAsia="Times New Roman" w:hAnsi="Times New Roman"/>
          <w:sz w:val="17"/>
          <w:szCs w:val="17"/>
          <w:color w:val="auto"/>
        </w:rPr>
        <w:t>, which was issued on October 28, 2002 and most recently amended on December 29, 2018, the State implements a classification-based management on the environmental impact assessment, or EIA, of construction projects according to the impact of the construction projects on the environment. Construction units shall prepare an Environmental Impact Report, or EIR, or the Environmental Impact Statement, or EIS, or fill out the Environmental Impact Registration Form, or EIRF (hereinafter collectively referred to as the “EIA documents”), according to the following rules:</w:t>
      </w:r>
    </w:p>
    <w:p>
      <w:pPr>
        <w:spacing w:after="0" w:line="170" w:lineRule="exact"/>
        <w:rPr>
          <w:sz w:val="20"/>
          <w:szCs w:val="20"/>
          <w:color w:val="auto"/>
        </w:rPr>
      </w:pPr>
    </w:p>
    <w:p>
      <w:pPr>
        <w:ind w:left="660" w:hanging="309"/>
        <w:spacing w:after="0" w:line="27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potentially serious environmental impacts, an EIR shall be prepared to provide a comprehensive assessment of their environmental impacts;</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potentially mild environmental impacts, an EIS shall be prepared to provide an analysis or specialized assessment of their environmental impacts; and</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very small environmental impacts so that an EIA is not required, an Environmental Impact Registration Form shall be filled in.</w:t>
      </w:r>
    </w:p>
    <w:p>
      <w:pPr>
        <w:spacing w:after="0" w:line="1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Classification Administration Catalogue of Environmental Impact Assessments for Construction Projects</w:t>
      </w:r>
      <w:r>
        <w:rPr>
          <w:rFonts w:ascii="Times New Roman" w:cs="Times New Roman" w:eastAsia="Times New Roman" w:hAnsi="Times New Roman"/>
          <w:sz w:val="18"/>
          <w:szCs w:val="18"/>
          <w:color w:val="auto"/>
        </w:rPr>
        <w:t xml:space="preserve"> issued on September 2, 2008 and most recently amended on November 30, 2020, the food and beverage services were classified as to fill in an Environmental Impact Registration Form before January 1, 2021. Where the construction entity fails to fill in the Environmental Impact Registration Form in accordance with the law, the environmental protection administrative department at or above the county level shall order it to fill it in, and impose a fine of not more than RMB50,000 on it. Since January 1, 2021, construction projects of food and beverage services are not specified in the catalogue and shall not be included in the management on the EIA.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Fire Prevention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Fire Protection Design Approval and Filing</w:t>
      </w:r>
    </w:p>
    <w:p>
      <w:pPr>
        <w:spacing w:after="0" w:line="1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Fire Prevention Law of the PRC,</w:t>
      </w:r>
      <w:r>
        <w:rPr>
          <w:rFonts w:ascii="Times New Roman" w:cs="Times New Roman" w:eastAsia="Times New Roman" w:hAnsi="Times New Roman"/>
          <w:sz w:val="17"/>
          <w:szCs w:val="17"/>
          <w:color w:val="auto"/>
        </w:rPr>
        <w:t xml:space="preserve"> or the Fire Prevention Law, was adopted on April 29, 1998 and last amended on April 29, 2021. According to the Fire Prevention Law and other relevant laws and regulations of the PRC, the emergency management authority of the State Council and its local counterparts at or above county level shall monitor and administer the fire prevention affairs. The fire and rescue department of such a people’s government is responsible for implementation. The Fire Prevention Law provides that the fire prevention design or construction of a construction project must conform to the national fire prevention technical standards (as the case may be).</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Interim Provisions on the Administration of the Fire Protection Design Review and Final Inspection of Construction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as effective on June 1, 2020 and most recently amended on August 21, 2023 and effective on October 30, 2023, for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construction projects for a café with entertainment functions with more than 500 square meters, the construction entity shall apply to the housing and urban-rural development authority for fire protection design approval. For the construction projects other than the conditions foregoing, the construction entity shall provide fire protection design drawings or technical information as needed for construction to the housing and urban-rural development authority when applying for a construction permit or a construction commencement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Fire Protection Final Inspection or Filing</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Upon completion of a construction project to which a fire prevention design has been applied, according to the requirements of relevant regulations on fire prevention, such project must go through a final inspection on fire prevention by, or filed with, the relevant housing and urban-rural development authority. For construction projects with more than 500 square meters, the construction entity or entity using such venue shall, prior to use and operation of any business thereof, apply for a final inspection on fire prevention with the relevant housing and urban-rural development authority at or above the county level where the venue is located. For the construction projects other than the conditions foregoing, the construction entity shall submit the filing for final inspection of the project to the relevant housing and urban-rural development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Fire Safety Inspection</w:t>
      </w:r>
    </w:p>
    <w:p>
      <w:pPr>
        <w:spacing w:after="0" w:line="22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Fire Prevention Law requires that the employer or user entity apply to the fire and rescue department of the local people’s government at or above the county level for a fire safety inspection before a public gathering place is put into use or opens for business. The fire and rescue department shall examine the materials submitted by the applicant; and if the application materials are complete and of the statutory form, it shall grant a permit. Any construction illegally putting into use or operating a public gathering place without obtaining the permit of the fire safety inspection or without satisfying the fire safety requirements upon inspection shall be ordered to stop construction, stop use or stop production or business operation and be fined not less than RMB30,000 but not more than RMB300,000.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Commercial Franchising</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Regulations on the Administration of Commercial Franchising</w:t>
      </w:r>
      <w:r>
        <w:rPr>
          <w:rFonts w:ascii="Times New Roman" w:cs="Times New Roman" w:eastAsia="Times New Roman" w:hAnsi="Times New Roman"/>
          <w:sz w:val="18"/>
          <w:szCs w:val="18"/>
          <w:color w:val="auto"/>
        </w:rPr>
        <w:t>, or the Franchising Regulations, which took effect on May 1, 2007, commercial franchising refers to the business activities where a franchisor, being an enterprise possessing registered trademarks, corporate logos, patents, proprietary technology or other business resources, licenses its business resources to the franchisees, being other business operators, through contracts, and the franchisees carry out business operation under the uniform business model and pay franchising fees to the franchisor pursuant to the contracts. The Franchising Regulations set forth a number of prerequisite requirements for the franchisors, including the possession of a mature business model, the capability to provide business guidance, technical support and business training to the franchisees, and the ownership of at least two direct stores, all of which shall have been in operation for at least one year in China. The Franchising Regulations also set forth a number of requirements governing the franchise agreements; for example, the franchisors and franchisees are required to enter into franchising agreements containing certain required terms, and the franchise term thereunder shall not be less than three years unless agreed by the franchisee.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the Filing of the Commercial Franchise</w:t>
      </w:r>
      <w:r>
        <w:rPr>
          <w:rFonts w:ascii="Times New Roman" w:cs="Times New Roman" w:eastAsia="Times New Roman" w:hAnsi="Times New Roman"/>
          <w:sz w:val="18"/>
          <w:szCs w:val="18"/>
          <w:color w:val="auto"/>
        </w:rPr>
        <w:t>, which took effect on February 1, 2012 and was amended on December 29, 2023, and the Franchising Regulations, within 15 days after executing the first franchise agreement, the franchisors shall file with the MOFCOM or its local counterparts for record, and if there occurs any change to the franchisee network and franchisee stores throughout China, the franchisor shall file such change to MOFCOM for the record within 30 days after the occurrence of the change. Furthermore, within the first quarter of each year, the franchisors shall report the execution, renewal, termination and revocation of the franchise agreements that occurred in the last year to MOFCOM or its local counterparts. Any failure to comply with the aforementioned requirement may result in being ordered to stop the illegal business operations by the competent department, confiscation of the illegal proceeds and fines ranging from RMB 100,000 to RMB 500,000.</w:t>
      </w:r>
    </w:p>
    <w:p>
      <w:pPr>
        <w:spacing w:after="0" w:line="18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Furthermore, the franchisors are required to implement an information disclosure system. The </w:t>
      </w:r>
      <w:r>
        <w:rPr>
          <w:rFonts w:ascii="Times New Roman" w:cs="Times New Roman" w:eastAsia="Times New Roman" w:hAnsi="Times New Roman"/>
          <w:sz w:val="18"/>
          <w:szCs w:val="18"/>
          <w:i w:val="1"/>
          <w:iCs w:val="1"/>
          <w:color w:val="auto"/>
        </w:rPr>
        <w:t>Administrative Measures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Disclosure of Commercial Franchising</w:t>
      </w:r>
      <w:r>
        <w:rPr>
          <w:rFonts w:ascii="Times New Roman" w:cs="Times New Roman" w:eastAsia="Times New Roman" w:hAnsi="Times New Roman"/>
          <w:sz w:val="18"/>
          <w:szCs w:val="18"/>
          <w:color w:val="auto"/>
        </w:rPr>
        <w:t>, which took effect on April 1, 2012, provide a list of information that the franchisors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disclose to the franchisees in writing at least 30 days before execution of the franchising agreements, and if there is any material change to the disclosed information, the franchisor shall notify the franchisees in a timely manner.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Customer Rights Protection</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PRC Customer Rights and Interests Protection Law</w:t>
      </w:r>
      <w:r>
        <w:rPr>
          <w:rFonts w:ascii="Times New Roman" w:cs="Times New Roman" w:eastAsia="Times New Roman" w:hAnsi="Times New Roman"/>
          <w:sz w:val="18"/>
          <w:szCs w:val="18"/>
          <w:color w:val="auto"/>
        </w:rPr>
        <w:t>,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 operators or the responsible individuals to criminal penalties if business operators commit crimes by infringing the legitimate rights and interests of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21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MOFCOM and NDRC promulgated the </w:t>
      </w:r>
      <w:r>
        <w:rPr>
          <w:rFonts w:ascii="Times New Roman" w:cs="Times New Roman" w:eastAsia="Times New Roman" w:hAnsi="Times New Roman"/>
          <w:sz w:val="18"/>
          <w:szCs w:val="18"/>
          <w:i w:val="1"/>
          <w:iCs w:val="1"/>
          <w:color w:val="auto"/>
        </w:rPr>
        <w:t>Special Management Measures (Negative List) for the Access of Foreign Investment</w:t>
      </w:r>
      <w:r>
        <w:rPr>
          <w:rFonts w:ascii="Times New Roman" w:cs="Times New Roman" w:eastAsia="Times New Roman" w:hAnsi="Times New Roman"/>
          <w:sz w:val="18"/>
          <w:szCs w:val="18"/>
          <w:color w:val="auto"/>
        </w:rPr>
        <w:t>, or the Negative List, effective on January 1, 2022. The Negative List expands the scope of permitted industries by foreign investment by reducing the number of industries that fall within the Negative List where restrictions on the shareholding percentage or requirements on the composition of Board or senior management still exist. Foreign investment in value-added telecommunications services (except for e-commerce) falls within the Negative List.</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Provisions on Administration of Foreign-Invested Telecommunications Enterprises</w:t>
      </w:r>
      <w:r>
        <w:rPr>
          <w:rFonts w:ascii="Times New Roman" w:cs="Times New Roman" w:eastAsia="Times New Roman" w:hAnsi="Times New Roman"/>
          <w:sz w:val="18"/>
          <w:szCs w:val="18"/>
          <w:color w:val="auto"/>
        </w:rPr>
        <w:t xml:space="preserve"> promulgated by the State Council in December 2001 and most recently amended in March 2022 and effective on May 1, 2022, or the FITE Regulations, except as otherwise stipulated by the state, the ultimate foreign equity ownership in a value-added telecommunications services, or the VATS, provider may not exceed 50%. Pursuant to the </w:t>
      </w:r>
      <w:r>
        <w:rPr>
          <w:rFonts w:ascii="Times New Roman" w:cs="Times New Roman" w:eastAsia="Times New Roman" w:hAnsi="Times New Roman"/>
          <w:sz w:val="18"/>
          <w:szCs w:val="18"/>
          <w:i w:val="1"/>
          <w:iCs w:val="1"/>
          <w:color w:val="auto"/>
        </w:rPr>
        <w:t>Decision of the State Council to Amend and Repeal Certain Administrative Regulations (2022)</w:t>
      </w:r>
      <w:r>
        <w:rPr>
          <w:rFonts w:ascii="Times New Roman" w:cs="Times New Roman" w:eastAsia="Times New Roman" w:hAnsi="Times New Roman"/>
          <w:sz w:val="18"/>
          <w:szCs w:val="18"/>
          <w:color w:val="auto"/>
        </w:rPr>
        <w:t>, which was promulgated on March 29, 2022 and became effective on May 1, 2022, except as otherwise stipulated by the state, the ultimate foreign equity ownership in a VATS provider may not exceed 50% and the foreign investor contemplating to acquire equity interest in a VATS provider in China will not be required to demonstrate a good track record and experience in operating value-added telecommunication business overseas.</w:t>
      </w:r>
    </w:p>
    <w:p>
      <w:pPr>
        <w:spacing w:after="0" w:line="18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June 2015, MIIT issued the </w:t>
      </w:r>
      <w:r>
        <w:rPr>
          <w:rFonts w:ascii="Times New Roman" w:cs="Times New Roman" w:eastAsia="Times New Roman" w:hAnsi="Times New Roman"/>
          <w:sz w:val="18"/>
          <w:szCs w:val="18"/>
          <w:i w:val="1"/>
          <w:iCs w:val="1"/>
          <w:color w:val="auto"/>
        </w:rPr>
        <w:t>Circular on Removing the Restrictions on Equity Ratio Held by Foreign Investors in Online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Processing and Transaction Processing (Operating E-Commerce) Business </w:t>
      </w:r>
      <w:r>
        <w:rPr>
          <w:rFonts w:ascii="Times New Roman" w:cs="Times New Roman" w:eastAsia="Times New Roman" w:hAnsi="Times New Roman"/>
          <w:sz w:val="18"/>
          <w:szCs w:val="18"/>
          <w:color w:val="auto"/>
        </w:rPr>
        <w:t>to amend the relevant provisions in the FITE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foreign investors to own more than 50% of equity interest in an operator that “conducts e-commerce” business. However, other requirements provided by the Foreign Investment Telecommunications Rules (such as the track record and experience requirement for a major foreign investor) still apply, and foreign investors are still prohibited from holding more than 50% of equity interest in a provider of other subcategories of value-added telecommunications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 and the Implementation Regulations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December 2018, the Standing Committee of the National People’s Congress of PRC published the Draft Foreign Investment Law (2018) for public comments. On March 15, 2019, the National People’s Congress adopted the </w:t>
      </w:r>
      <w:r>
        <w:rPr>
          <w:rFonts w:ascii="Times New Roman" w:cs="Times New Roman" w:eastAsia="Times New Roman" w:hAnsi="Times New Roman"/>
          <w:sz w:val="18"/>
          <w:szCs w:val="18"/>
          <w:i w:val="1"/>
          <w:iCs w:val="1"/>
          <w:color w:val="auto"/>
        </w:rPr>
        <w:t>Foreign Investment Law of the PRC</w:t>
      </w:r>
      <w:r>
        <w:rPr>
          <w:rFonts w:ascii="Times New Roman" w:cs="Times New Roman" w:eastAsia="Times New Roman" w:hAnsi="Times New Roman"/>
          <w:sz w:val="18"/>
          <w:szCs w:val="18"/>
          <w:color w:val="auto"/>
        </w:rPr>
        <w:t xml:space="preserve"> (the “Foreign Investment Law”). Upon taking effect on January 1, 2020, the Foreign Investment Law has replaced the </w:t>
      </w:r>
      <w:r>
        <w:rPr>
          <w:rFonts w:ascii="Times New Roman" w:cs="Times New Roman" w:eastAsia="Times New Roman" w:hAnsi="Times New Roman"/>
          <w:sz w:val="18"/>
          <w:szCs w:val="18"/>
          <w:i w:val="1"/>
          <w:iCs w:val="1"/>
          <w:color w:val="auto"/>
        </w:rPr>
        <w:t>Law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 on Chinese-Foreign Equity Joint Ventures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Law of the People’s Republic of China on Wholly Foreign-Owned Enterprises</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Law of the People’s Republic of China on Chinese-Foreign Cooperative Joint Ventures </w:t>
      </w:r>
      <w:r>
        <w:rPr>
          <w:rFonts w:ascii="Times New Roman" w:cs="Times New Roman" w:eastAsia="Times New Roman" w:hAnsi="Times New Roman"/>
          <w:sz w:val="18"/>
          <w:szCs w:val="18"/>
          <w:color w:val="auto"/>
        </w:rPr>
        <w:t>to become the legal foundation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foreign investment in the PRC. The Foreign Investment Law mainly focuses on the foreign investment promotion, foreign investment protection and foreign investment management.</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Foreign Investment Law defines “foreign investment” as any investment activity directly or indirectly carried out in the PRC by one or more foreign natural persons, enterprises or other organizations (the “Foreign Investor(s)”), and specifically stipulates four forms of investment activities as foreign investments, namely, (i) establishment of a foreign-invested enterprise in the PRC by a Foreign Investor, either individually or collectively with any other investor; (ii) obtaining shares, equities, property shares or any other similar rights or interests of an enterprise in the PRC by a Foreign Investor; (iii) investment in any new construction project in the PRC by a Foreign Investor, either individually or collectively with any other investor; and (iv) investment in any other manners stipulated under laws, administrative regulations or provisions prescribed by the State Council.</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order to ensure the effective implementation of the Foreign Investment Law, the Ministry of Justice, the Ministry of Commerce, the National Development and Reform Commission and other departments have jointly studied and drafted the regulations for the implementation of the Foreign Investment Law. On November 1, 2019, the Ministry of Justice published the Implementation Regulations of Foreign Investment Law (Draft for Comments). On December 12, 2019, the State Council promulgated </w:t>
      </w:r>
      <w:r>
        <w:rPr>
          <w:rFonts w:ascii="Times New Roman" w:cs="Times New Roman" w:eastAsia="Times New Roman" w:hAnsi="Times New Roman"/>
          <w:sz w:val="18"/>
          <w:szCs w:val="18"/>
          <w:i w:val="1"/>
          <w:iCs w:val="1"/>
          <w:color w:val="auto"/>
        </w:rPr>
        <w:t>the Implementation Regulations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or the Implementation Regulations, which have simultaneously come into force with the Foreign Investment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1, 2020. The Implementation Regulations provides specific operation rules for the principles of investment protection, investment promotion and investment management in the Foreign Investment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Security Review Measures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December 19, 2020, the NDRC and MOFCOM promulgated the </w:t>
      </w:r>
      <w:r>
        <w:rPr>
          <w:rFonts w:ascii="Times New Roman" w:cs="Times New Roman" w:eastAsia="Times New Roman" w:hAnsi="Times New Roman"/>
          <w:sz w:val="18"/>
          <w:szCs w:val="18"/>
          <w:i w:val="1"/>
          <w:iCs w:val="1"/>
          <w:color w:val="auto"/>
        </w:rPr>
        <w:t>Foreign Investment Security Review Measures</w:t>
      </w:r>
      <w:r>
        <w:rPr>
          <w:rFonts w:ascii="Times New Roman" w:cs="Times New Roman" w:eastAsia="Times New Roman" w:hAnsi="Times New Roman"/>
          <w:sz w:val="18"/>
          <w:szCs w:val="18"/>
          <w:color w:val="auto"/>
        </w:rPr>
        <w:t>,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Value-Added Telecommunication Services</w:t>
      </w:r>
    </w:p>
    <w:p>
      <w:pPr>
        <w:spacing w:after="0" w:line="1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Among all of the applicable laws and regulations, 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xml:space="preserve">, or the Telecom Regulations, promulgated by the PRC State Council on September 25, 2000 and most recently amended on February 6, 2016, are the primary governing law, and sets out the general framework for the provision of telecommunications services by domestic PRC companies. Under the Telecom Regulations, telecommunications service providers are required to procure operating licenses prior to their commencement of operations. The </w:t>
      </w:r>
      <w:r>
        <w:rPr>
          <w:rFonts w:ascii="Times New Roman" w:cs="Times New Roman" w:eastAsia="Times New Roman" w:hAnsi="Times New Roman"/>
          <w:sz w:val="18"/>
          <w:szCs w:val="18"/>
          <w:i w:val="1"/>
          <w:iCs w:val="1"/>
          <w:color w:val="auto"/>
        </w:rPr>
        <w:t>Telecom Regulations</w:t>
      </w:r>
      <w:r>
        <w:rPr>
          <w:rFonts w:ascii="Times New Roman" w:cs="Times New Roman" w:eastAsia="Times New Roman" w:hAnsi="Times New Roman"/>
          <w:sz w:val="18"/>
          <w:szCs w:val="18"/>
          <w:color w:val="auto"/>
        </w:rPr>
        <w:t xml:space="preserve"> distinguish “basic telecommunications services” from VATS. VATS are defined as telecommunications and information services provided through public networks. The </w:t>
      </w:r>
      <w:r>
        <w:rPr>
          <w:rFonts w:ascii="Times New Roman" w:cs="Times New Roman" w:eastAsia="Times New Roman" w:hAnsi="Times New Roman"/>
          <w:sz w:val="18"/>
          <w:szCs w:val="18"/>
          <w:i w:val="1"/>
          <w:iCs w:val="1"/>
          <w:color w:val="auto"/>
        </w:rPr>
        <w:t>Telecom Catalogue</w:t>
      </w:r>
      <w:r>
        <w:rPr>
          <w:rFonts w:ascii="Times New Roman" w:cs="Times New Roman" w:eastAsia="Times New Roman" w:hAnsi="Times New Roman"/>
          <w:sz w:val="18"/>
          <w:szCs w:val="18"/>
          <w:color w:val="auto"/>
        </w:rPr>
        <w:t xml:space="preserve"> was issued as an attachment to the Telecom Regulations to categorize telecommunications services as either basic or value-added. In February 2003, December 2015 and June 2019 the </w:t>
      </w:r>
      <w:r>
        <w:rPr>
          <w:rFonts w:ascii="Times New Roman" w:cs="Times New Roman" w:eastAsia="Times New Roman" w:hAnsi="Times New Roman"/>
          <w:sz w:val="18"/>
          <w:szCs w:val="18"/>
          <w:i w:val="1"/>
          <w:iCs w:val="1"/>
          <w:color w:val="auto"/>
        </w:rPr>
        <w:t>Telecom Catalogue</w:t>
      </w:r>
      <w:r>
        <w:rPr>
          <w:rFonts w:ascii="Times New Roman" w:cs="Times New Roman" w:eastAsia="Times New Roman" w:hAnsi="Times New Roman"/>
          <w:sz w:val="18"/>
          <w:szCs w:val="18"/>
          <w:color w:val="auto"/>
        </w:rPr>
        <w:t xml:space="preserve"> was updated respectively, categorizing online data and transaction processing and information services, among others, as VATS.</w:t>
      </w:r>
    </w:p>
    <w:p>
      <w:pPr>
        <w:spacing w:after="0" w:line="1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Measures on Telecommunications Business Operating Licenses</w:t>
      </w:r>
      <w:r>
        <w:rPr>
          <w:rFonts w:ascii="Times New Roman" w:cs="Times New Roman" w:eastAsia="Times New Roman" w:hAnsi="Times New Roman"/>
          <w:sz w:val="18"/>
          <w:szCs w:val="18"/>
          <w:color w:val="auto"/>
        </w:rPr>
        <w:t>, issued on March 1, 2009 and most recently amended on July 3, 2017,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and warnings from the competent administration authority, fines and confiscation of illegal gains and, in the case of significant infringements, the websites may be ordered to close.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color w:val="auto"/>
        </w:rPr>
        <w:t xml:space="preserve">In September 2000, the State Council promulgated the </w:t>
      </w:r>
      <w:r>
        <w:rPr>
          <w:rFonts w:ascii="Times New Roman" w:cs="Times New Roman" w:eastAsia="Times New Roman" w:hAnsi="Times New Roman"/>
          <w:sz w:val="17"/>
          <w:szCs w:val="17"/>
          <w:i w:val="1"/>
          <w:iCs w:val="1"/>
          <w:color w:val="auto"/>
        </w:rPr>
        <w:t>Administrative Measures on Internet Information Services,</w:t>
      </w:r>
      <w:r>
        <w:rPr>
          <w:rFonts w:ascii="Times New Roman" w:cs="Times New Roman" w:eastAsia="Times New Roman" w:hAnsi="Times New Roman"/>
          <w:sz w:val="17"/>
          <w:szCs w:val="17"/>
          <w:color w:val="auto"/>
        </w:rPr>
        <w:t xml:space="preserve"> or the Internet Measures, most recently amended on January 8, 2011. Under the Internet Measures, commercial internet content-related services operators shall obtain a VATS license for internet content provision business, or the ICP license, from the relevant government authorities before engaging in any commercial internet content-related services operations within China. Our Former VIE holds a valid ICP license.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on Information Security</w:t>
      </w:r>
    </w:p>
    <w:p>
      <w:pPr>
        <w:spacing w:after="0" w:line="2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 xml:space="preserve">The Standing Committee of the National People’s Congress promulgated the </w:t>
      </w:r>
      <w:r>
        <w:rPr>
          <w:rFonts w:ascii="Times New Roman" w:cs="Times New Roman" w:eastAsia="Times New Roman" w:hAnsi="Times New Roman"/>
          <w:sz w:val="17"/>
          <w:szCs w:val="17"/>
          <w:i w:val="1"/>
          <w:iCs w:val="1"/>
          <w:color w:val="auto"/>
        </w:rPr>
        <w:t>Cybersecurity Law of the PRC</w:t>
      </w:r>
      <w:r>
        <w:rPr>
          <w:rFonts w:ascii="Times New Roman" w:cs="Times New Roman" w:eastAsia="Times New Roman" w:hAnsi="Times New Roman"/>
          <w:sz w:val="17"/>
          <w:szCs w:val="17"/>
          <w:color w:val="auto"/>
        </w:rPr>
        <w:t>, or the Cybersecurity Law, which became effective on June 1, 2017, to protect cyberspace security and order. Pursuant to the Cybersecurity Law, any individual or organization using the network must comply with the constitution and the applicable laws, follow the public order and respect social moralities, and must not endanger cybersecurity, or engage in activities by making use of the network that endanger the national security, honor and interests; incite subversion of state power; overthrow the socialist system; incite secession, undermining national unity, terrorism and extremism promotion, ethnic hatred and discrimination; spread violence and disseminate pornographic information, fabricating and spreading false information that disturbs economic and social order; or infringe on the fame, privacy, intellectual property and other legitimate rights and interests of others. The Cybersecurity Law sets forth various security protection obligations for network operators, which are defined as “owners and administrators of networks and network service providers,” including, among others, complying with a series of requirements of tiered cyber protection systems; verifying users’ real identity;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17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January 4, 2022, the Cyberspace Administration of China, or the CAC, the NDRC, the MIIT, and several other administrations jointly promulgated the Cybersecurity Review Measures, which took effect on February 15, 2022. The Cybersecurity Review Measures replaces its previous version promulgated on April 13, 2020. According to the Cybersecurity Review Measures, (i) when the purchase of network products and services by a critical information infrastructures operator or the data processing activities conducted by a network platform operator affect or may affect national security, a cybersecurity review shall be conducted pursuant to the Cybersecurity Review Measures. The aforesaid operators shall file for a cybersecurity review with Cybersecurity Review Office under the CAC if their behavior affects or may affect national security; (ii) an application for cybersecurity review shall be made by an issuer who is a network platform operator holding personal information of more than one million users before such issuer applies to list its securities on a foreign stock exchange; and (iii) the relevant PRC governmental authorities may initiate cybersecurity review if such governmental authorities determine that the issuer’s network products or services, or data processing activities affect or may affect national security. Cybersecurity reviews focus on assessing the following national security risks factors associated with relevant objects or circumstances: (i) the risk of illegal control, interference or destruction of critical information infrastructure, arising from the purchase and utilization of network products and services; (ii) the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the PRC laws, administrative regulations and ministry rules of the suppliers of network products and services; (v) the risk of core data, important data or a large amount of personal information being stolen, leaked, destroyed, and illegally used or illegally exited the country; (vi) the risk of critical information infrastructure, core data, important data or a large amount of personal information being affected, controlled, or maliciously used by foreign governments and the network information security risk in relation to listing abroad; and (vii) other factors that may harm critical information infrastructure, cyber security and/or data security.</w:t>
      </w:r>
    </w:p>
    <w:p>
      <w:pPr>
        <w:spacing w:after="0" w:line="19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7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the CAC issued the </w:t>
      </w:r>
      <w:r>
        <w:rPr>
          <w:rFonts w:ascii="Times New Roman" w:cs="Times New Roman" w:eastAsia="Times New Roman" w:hAnsi="Times New Roman"/>
          <w:sz w:val="18"/>
          <w:szCs w:val="18"/>
          <w:i w:val="1"/>
          <w:iCs w:val="1"/>
          <w:color w:val="auto"/>
        </w:rPr>
        <w:t>Measures on the Standard Contract for Outbound Data Transfer of Personal Information</w:t>
      </w:r>
      <w:r>
        <w:rPr>
          <w:rFonts w:ascii="Times New Roman" w:cs="Times New Roman" w:eastAsia="Times New Roman" w:hAnsi="Times New Roman"/>
          <w:sz w:val="18"/>
          <w:szCs w:val="18"/>
          <w:color w:val="auto"/>
        </w:rPr>
        <w:t>, or Personal Information Outbound Transfer Standard Contract Measures, which came into effect on June 1, 2023. The Personal Information Outbound Transfer Standard Contract Measures provide for circumstances where personal information processors may transfer personal information abroad by entering into a standard contract, and stipulated detailed compliance requirements.</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August 3, 2023, the </w:t>
      </w:r>
      <w:r>
        <w:rPr>
          <w:rFonts w:ascii="Times New Roman" w:cs="Times New Roman" w:eastAsia="Times New Roman" w:hAnsi="Times New Roman"/>
          <w:sz w:val="18"/>
          <w:szCs w:val="18"/>
          <w:i w:val="1"/>
          <w:iCs w:val="1"/>
          <w:color w:val="auto"/>
        </w:rPr>
        <w:t>Administrative Measures on Personal Information Protection Compliance Audits (Draft for Comment)</w:t>
      </w:r>
      <w:r>
        <w:rPr>
          <w:rFonts w:ascii="Times New Roman" w:cs="Times New Roman" w:eastAsia="Times New Roman" w:hAnsi="Times New Roman"/>
          <w:sz w:val="18"/>
          <w:szCs w:val="18"/>
          <w:color w:val="auto"/>
        </w:rPr>
        <w:t>, or the Draft Measures on Compliance Audits, was proposed by the CAC for public comments until September 2, 2023. According to the Draft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 million people shall conduct personal information protection compliance audits at least once a year. Furthermore, the Draft Measures on Compliance Audits enumerate the key focus when conducting “personal information protection compliance audits”.</w:t>
      </w:r>
    </w:p>
    <w:p>
      <w:pPr>
        <w:spacing w:after="0" w:line="1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March 22, 2024, the </w:t>
      </w:r>
      <w:r>
        <w:rPr>
          <w:rFonts w:ascii="Times New Roman" w:cs="Times New Roman" w:eastAsia="Times New Roman" w:hAnsi="Times New Roman"/>
          <w:sz w:val="18"/>
          <w:szCs w:val="18"/>
          <w:i w:val="1"/>
          <w:iCs w:val="1"/>
          <w:color w:val="auto"/>
        </w:rPr>
        <w:t>Provisions on Regulating and Promoting Cross-border Data Transfer</w:t>
      </w:r>
      <w:r>
        <w:rPr>
          <w:rFonts w:ascii="Times New Roman" w:cs="Times New Roman" w:eastAsia="Times New Roman" w:hAnsi="Times New Roman"/>
          <w:sz w:val="18"/>
          <w:szCs w:val="18"/>
          <w:color w:val="auto"/>
        </w:rPr>
        <w:t xml:space="preserve">,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 On December 8, 2023, the </w:t>
      </w:r>
      <w:r>
        <w:rPr>
          <w:rFonts w:ascii="Times New Roman" w:cs="Times New Roman" w:eastAsia="Times New Roman" w:hAnsi="Times New Roman"/>
          <w:sz w:val="18"/>
          <w:szCs w:val="18"/>
          <w:i w:val="1"/>
          <w:iCs w:val="1"/>
          <w:color w:val="auto"/>
        </w:rPr>
        <w:t>Administrative Measures on Reporting of Cybersecurity Incidents (Draft for Comment)</w:t>
      </w:r>
      <w:r>
        <w:rPr>
          <w:rFonts w:ascii="Times New Roman" w:cs="Times New Roman" w:eastAsia="Times New Roman" w:hAnsi="Times New Roman"/>
          <w:sz w:val="18"/>
          <w:szCs w:val="18"/>
          <w:color w:val="auto"/>
        </w:rPr>
        <w: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 comply with these laws and regulations, we have adopted security policies and measures to protect our cyber system and customer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on Internet Privacy</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Administrative Provisions on Mobile Internet Applications Information Services, effective on August 1, 2016 and amended on June 14, 2022 and effective on August 1, 2022, owners or operators of mobile applications that provide information services shall obtain the relevant qualifications prescribed by laws and regulations, strictly implement their information content administrator responsibilities and carry out certain duties, including to authenticate the real identity information of users, establish and complete information content inspection and management mechanisms, perform the data security protection obligations and regulate personal information processing activities. 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clarifies several concepts regarding the crime of “infringement of citizens’ personal information” stipulated by Article 253A of the </w:t>
      </w:r>
      <w:r>
        <w:rPr>
          <w:rFonts w:ascii="Times New Roman" w:cs="Times New Roman" w:eastAsia="Times New Roman" w:hAnsi="Times New Roman"/>
          <w:sz w:val="18"/>
          <w:szCs w:val="18"/>
          <w:i w:val="1"/>
          <w:iCs w:val="1"/>
          <w:color w:val="auto"/>
        </w:rPr>
        <w:t>Criminal Law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 including “citizen’s personal information,” “provision” and “unlawful acquisition of citizens’ personal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it specifies the standards for determining the “serious circumstances” and “particularly serious circumstances” of this crime.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On June 10, 2021, the </w:t>
      </w:r>
      <w:r>
        <w:rPr>
          <w:rFonts w:ascii="Times New Roman" w:cs="Times New Roman" w:eastAsia="Times New Roman" w:hAnsi="Times New Roman"/>
          <w:sz w:val="18"/>
          <w:szCs w:val="18"/>
          <w:i w:val="1"/>
          <w:iCs w:val="1"/>
          <w:color w:val="auto"/>
        </w:rPr>
        <w:t>Data Security Law</w:t>
      </w:r>
      <w:r>
        <w:rPr>
          <w:rFonts w:ascii="Times New Roman" w:cs="Times New Roman" w:eastAsia="Times New Roman" w:hAnsi="Times New Roman"/>
          <w:sz w:val="18"/>
          <w:szCs w:val="18"/>
          <w:color w:val="auto"/>
        </w:rPr>
        <w:t xml:space="preserve"> was promulgated by the Standing Committee of the National People’s Congress and became effective on September 1, 2021. The Data Security Law mainly sets forth specific provisions regarding establishing basic systems for data security management, including a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August 20, 2021, the </w:t>
      </w:r>
      <w:r>
        <w:rPr>
          <w:rFonts w:ascii="Times New Roman" w:cs="Times New Roman" w:eastAsia="Times New Roman" w:hAnsi="Times New Roman"/>
          <w:sz w:val="18"/>
          <w:szCs w:val="18"/>
          <w:i w:val="1"/>
          <w:iCs w:val="1"/>
          <w:color w:val="auto"/>
        </w:rPr>
        <w:t>Personal Information Protection Law</w:t>
      </w:r>
      <w:r>
        <w:rPr>
          <w:rFonts w:ascii="Times New Roman" w:cs="Times New Roman" w:eastAsia="Times New Roman" w:hAnsi="Times New Roman"/>
          <w:sz w:val="18"/>
          <w:szCs w:val="18"/>
          <w:color w:val="auto"/>
        </w:rPr>
        <w:t xml:space="preserve"> was promulgated by the Standing Committee of the National People’s Congress and became effective on November 1, 2021. The Personal Information Protection Law provides for various requirements on personal information protection, including the legal basis for data collection and processing, requirements on data localization and cross-border data transfer, requirements for consent of personal data collection and processing, and requirements on processing sensitive personal information. The Personal Information Protection Law also provides that the customers shall be entitled to opt out of the information recommendation or commercial marketing to individuals conducted by means of automated decision-making, or to be provided simultaneously with options not specific to individuals’ characteristics.</w:t>
      </w:r>
    </w:p>
    <w:p>
      <w:pPr>
        <w:spacing w:after="0" w:line="14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comply with these laws and regulations, we collect and use personal information and data from our customers with their prior consent, and have established information security systems to protect customers’ privacy. There are uncertainties with respect to the interpretation and implementation of these data security laws and regulations, so our data-related measures may be subject to additional compliance requirements and regulatory burdens, and we may be required to make further adjustments to our business practices to comply with the interpretation and implementation of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E-Commerce and Platform Economy</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Standing Committee of the National People’s Congress of PRC enacted the </w:t>
      </w:r>
      <w:r>
        <w:rPr>
          <w:rFonts w:ascii="Times New Roman" w:cs="Times New Roman" w:eastAsia="Times New Roman" w:hAnsi="Times New Roman"/>
          <w:sz w:val="18"/>
          <w:szCs w:val="18"/>
          <w:i w:val="1"/>
          <w:iCs w:val="1"/>
          <w:color w:val="auto"/>
        </w:rPr>
        <w:t>PRC E-Commerce Law</w:t>
      </w:r>
      <w:r>
        <w:rPr>
          <w:rFonts w:ascii="Times New Roman" w:cs="Times New Roman" w:eastAsia="Times New Roman" w:hAnsi="Times New Roman"/>
          <w:sz w:val="18"/>
          <w:szCs w:val="18"/>
          <w:color w:val="auto"/>
        </w:rPr>
        <w:t xml:space="preserve"> on August 31, 2018, which became effective on January 1, 2019. Under the PRC E-Commerce Law, e-commerce refers to operating activities of selling goods or providing services through the internet or other information networks. The PRC E-Commerce Law generally applies to: (i) platform operators, which refer to legal persons or unincorporated organizations that provide network places of business, transaction matching, information release and other services to enable the transaction parties to carry out independent transaction activities; (ii) operators on the platform, which refer to e-commerce operators that sell goods or provide services to customers through e-commerce platforms; and</w:t>
      </w:r>
    </w:p>
    <w:p>
      <w:pPr>
        <w:spacing w:after="0" w:line="5" w:lineRule="exact"/>
        <w:rPr>
          <w:sz w:val="20"/>
          <w:szCs w:val="20"/>
          <w:color w:val="auto"/>
        </w:rPr>
      </w:pPr>
    </w:p>
    <w:p>
      <w:pPr>
        <w:jc w:val="both"/>
        <w:ind w:firstLine="7"/>
        <w:spacing w:after="0" w:line="246" w:lineRule="auto"/>
        <w:tabs>
          <w:tab w:leader="none" w:pos="3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e-commerce operators that sell goods or provide services through self-established websites or other network services. The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cybersecurity and personal information, take charge of the quality of products and services, and receive the supervision of the government and the general public. In particular, the E-Commerce Law requires e-commerce operators to respect and equally protect consumers’ legitimate rights and provide options to consumers without targeting their personal characteristics, and also requires e-commerce operators to clearly point out to consumers their tie-in sales in which additional services or products are added by merchants to a purchase, and not to assume consumers’ consent to such tie-in sales by default. The PRC E-commerce Law also provides rules in relation to e-commerce contracts, dispute settlements, e-commerce development as well as legal liabilities involved in e-commerce.</w:t>
      </w:r>
    </w:p>
    <w:p>
      <w:pPr>
        <w:spacing w:after="0" w:line="1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Online Trading Supervision and Management Measures</w:t>
      </w:r>
      <w:r>
        <w:rPr>
          <w:rFonts w:ascii="Times New Roman" w:cs="Times New Roman" w:eastAsia="Times New Roman" w:hAnsi="Times New Roman"/>
          <w:sz w:val="18"/>
          <w:szCs w:val="18"/>
          <w:color w:val="auto"/>
        </w:rPr>
        <w:t xml:space="preserve"> promulgated by the SAMR on March 15, 2021, and effective on May 1, 2021, provisions are made on the information collection and transactions involved in online transactions, including that online trading operators shall follow the principles of legality, propriety and necessity when collecting and using consumers’ personal information, specifically notify consumers about the purpose, method and scope of the collection and use of the information and obtain the consumers’ consent. Online trading operators who collect and use consumers’ personal information should announce their policies on collection and use and should not collect and use the information in breach of laws and regulations and the agreement between the parties. Online trading operators shall fully, truly, accurately and timely disclose commodity or service information to protect consumers’ right to know and choose.</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December 31, 2021, the Cybersecurity Administration of China, MIIT, Department of Public Safety and SAMR released the </w:t>
      </w:r>
      <w:r>
        <w:rPr>
          <w:rFonts w:ascii="Times New Roman" w:cs="Times New Roman" w:eastAsia="Times New Roman" w:hAnsi="Times New Roman"/>
          <w:sz w:val="18"/>
          <w:szCs w:val="18"/>
          <w:i w:val="1"/>
          <w:iCs w:val="1"/>
          <w:color w:val="auto"/>
        </w:rPr>
        <w:t>Regulations on Algorithm Recommendation Management of Internet Information Service</w:t>
      </w:r>
      <w:r>
        <w:rPr>
          <w:rFonts w:ascii="Times New Roman" w:cs="Times New Roman" w:eastAsia="Times New Roman" w:hAnsi="Times New Roman"/>
          <w:sz w:val="18"/>
          <w:szCs w:val="18"/>
          <w:color w:val="auto"/>
        </w:rPr>
        <w:t>, effective on March 1, 2022,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 recommendation service provider shall fulfill the principal responsibility of algorithm security, establish and improve management systems and be equipped with professional staff and technical support suitable for the scale of the algorithm recommendation service. The Regulations on Algorithm Recommendation Management of Internet Information Service implements classification and hierarchical management for algorithm recommendation service providers based on varies criteria. Moreover, it requires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or delete user labels that are based on personal characteristics and used for algorithmic recommendation services.</w:t>
      </w:r>
    </w:p>
    <w:p>
      <w:pPr>
        <w:spacing w:after="0" w:line="1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In addition, on February 7, 2021, the Anti-Monopoly Committee of the State Council promulgated the </w:t>
      </w:r>
      <w:r>
        <w:rPr>
          <w:rFonts w:ascii="Times New Roman" w:cs="Times New Roman" w:eastAsia="Times New Roman" w:hAnsi="Times New Roman"/>
          <w:sz w:val="18"/>
          <w:szCs w:val="18"/>
          <w:i w:val="1"/>
          <w:iCs w:val="1"/>
          <w:color w:val="auto"/>
        </w:rPr>
        <w:t>Anti-Monopoly 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Internet Platform Economy Sector</w:t>
      </w:r>
      <w:r>
        <w:rPr>
          <w:rFonts w:ascii="Times New Roman" w:cs="Times New Roman" w:eastAsia="Times New Roman" w:hAnsi="Times New Roman"/>
          <w:sz w:val="18"/>
          <w:szCs w:val="18"/>
          <w:color w:val="auto"/>
        </w:rPr>
        <w:t>, or the Anti-Monopoly Guidelines, which sets out detailed standards and rules in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relevant markets, typical types of cartel activity and abusive behavior by companies with market dominance, which provide further guidance for enforcement of anti-monopoly laws regarding online platform operators. The Anti-Monopoly Guidelines further details the types of horizontal agreements, vertical agreements, hub-and-spoke agreements and collusion which may constitute monopoly agreements in the platform economy. It also sets out a number of key factors that may be relevant in identifying a dominant undertaking, including, among others, predatory pricing, unfair pricing, refusal to deal, restraint of trade, tie-in, unreasonable trading conditions and discrimination. The Anti-Monopoly Guidelines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August 17, 2021, the SAMR issued the </w:t>
      </w:r>
      <w:r>
        <w:rPr>
          <w:rFonts w:ascii="Times New Roman" w:cs="Times New Roman" w:eastAsia="Times New Roman" w:hAnsi="Times New Roman"/>
          <w:sz w:val="18"/>
          <w:szCs w:val="18"/>
          <w:i w:val="1"/>
          <w:iCs w:val="1"/>
          <w:color w:val="auto"/>
        </w:rPr>
        <w:t>Provisions on Prohibition of Unfair Competition on the Internet (Draft for Comments)</w:t>
      </w:r>
      <w:r>
        <w:rPr>
          <w:rFonts w:ascii="Times New Roman" w:cs="Times New Roman" w:eastAsia="Times New Roman" w:hAnsi="Times New Roman"/>
          <w:sz w:val="18"/>
          <w:szCs w:val="18"/>
          <w:color w:val="auto"/>
        </w:rPr>
        <w:t>, or the Unfair Competition Prohibition Provisions Draft, which prohibits business operators from using data, algorithms and other technical means to unreasonably provide different transaction information for counterparties with the same trading conditions by collecting and analyzing the transaction information of the counterparties, or the content browsed and times of browsing, or the brand and value of the terminal equipment used in transactions by the counterparties, etc., which infringes the right to know, the right of choice, and the right to fair trading of the counterparties, and disrupts the fair trading order of the market. The Unfair Competition Prohibition Provisions Draft further prohibits business operators from using data, algorithms and other technical means to commit traffic hijacking, interference, malicious incompatibility and other improprieties to influence user choices or hinder or damage the normal operation of network products or services legally offered by other business operators. Furthermore, business operators are not allowed to (i) fabricate or spread misleading information to damage the reputation of competitors, or (ii) employ marketing practices such as fake reviews or use coupons or “red envelopes” to entice positive ratings. Since the SAMR is still seeking comments on the Unfair Competition Prohibition Provisions Draft from the public, the Unfair Competition Prohibition Provisions Draft and its anticipated adoption or effective date are subject to further changes.</w:t>
      </w:r>
    </w:p>
    <w:p>
      <w:pPr>
        <w:spacing w:after="0" w:line="1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Anti-Monopoly Law of the PRC</w:t>
      </w:r>
      <w:r>
        <w:rPr>
          <w:rFonts w:ascii="Times New Roman" w:cs="Times New Roman" w:eastAsia="Times New Roman" w:hAnsi="Times New Roman"/>
          <w:sz w:val="18"/>
          <w:szCs w:val="18"/>
          <w:color w:val="auto"/>
        </w:rPr>
        <w:t>, or the Anti-Monopoly Law, which was promulgated by the Standing Committee of the National People’s Congress on August 30, 2007 and amended on June 24, 2022, prohibits monopolistic conduct such as entering into monopoly agreements, abuse of dominant market position and concentration of undertakings that have the effect of eliminating or restricting competition. The Anti-monopoly Law, among others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Foreign Exchange Administration Regulations</w:t>
      </w:r>
      <w:r>
        <w:rPr>
          <w:rFonts w:ascii="Times New Roman" w:cs="Times New Roman" w:eastAsia="Times New Roman" w:hAnsi="Times New Roman"/>
          <w:sz w:val="18"/>
          <w:szCs w:val="18"/>
          <w:color w:val="auto"/>
        </w:rPr>
        <w:t xml:space="preserve">,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w:t>
      </w:r>
      <w:r>
        <w:rPr>
          <w:rFonts w:ascii="Times New Roman" w:cs="Times New Roman" w:eastAsia="Times New Roman" w:hAnsi="Times New Roman"/>
          <w:sz w:val="18"/>
          <w:szCs w:val="18"/>
          <w:i w:val="1"/>
          <w:iCs w:val="1"/>
          <w:color w:val="auto"/>
        </w:rPr>
        <w:t>Circular of the SAFE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Printing and Distributing the Administrative Provision on Foreign Exchange in Domestic Direct Investment by Foreign Investors and Relevant Supporting Documents</w:t>
      </w:r>
      <w:r>
        <w:rPr>
          <w:rFonts w:ascii="Times New Roman" w:cs="Times New Roman" w:eastAsia="Times New Roman" w:hAnsi="Times New Roman"/>
          <w:sz w:val="18"/>
          <w:szCs w:val="18"/>
          <w:color w:val="auto"/>
        </w:rPr>
        <w:t>, which provides for and simplifies the operational steps and regulations on foreign exchange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direct investment by foreign investors, including foreign exchange registration, account opening and the use, receipt and payment of funds, and the settlement and sales of foreign exchange.</w:t>
      </w:r>
    </w:p>
    <w:p>
      <w:pPr>
        <w:spacing w:after="0" w:line="18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Circular on Relevant Issues Concerning Foreign Exchange Administration of Overseas Investment and Financing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Return Investments Conducted by Domestic Residents through Overseas Special Purpose Vehicles </w:t>
      </w:r>
      <w:r>
        <w:rPr>
          <w:rFonts w:ascii="Times New Roman" w:cs="Times New Roman" w:eastAsia="Times New Roman" w:hAnsi="Times New Roman"/>
          <w:sz w:val="18"/>
          <w:szCs w:val="18"/>
          <w:color w:val="auto"/>
        </w:rPr>
        <w:t>or the SAFE Circular 37, promulgated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and which became effective on 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the name of the Overseas SPV, the term of operation, or any increase or reduction of the Overseas SPV’s registered capital, a share transfer or swap, and a merger or division. Pursuant to the SAFE Circular 37, failure to comply with these registration procedures may result in penalties.</w:t>
      </w:r>
    </w:p>
    <w:p>
      <w:pPr>
        <w:spacing w:after="0" w:line="18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Circular of the State Administration of Foreign Exchange on Further Simplifying and Improving the Direct Investment-Related Foreign Exchange Administration Policies</w:t>
      </w:r>
      <w:r>
        <w:rPr>
          <w:rFonts w:ascii="Times New Roman" w:cs="Times New Roman" w:eastAsia="Times New Roman" w:hAnsi="Times New Roman"/>
          <w:sz w:val="18"/>
          <w:szCs w:val="18"/>
          <w:color w:val="auto"/>
        </w:rPr>
        <w:t>, or the SAFE Notice 13, which was promulgated on February 13, 2015 and with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June 1, 2015, the foreign exchange registration under domestic direct investment and the foreign exchange registration under overseas direct investment are directly reviewed and handled by banks in accordance with the SAFE Notice 13, and the SAFE and its branches shall perform indirect regulation over the foreign exchange registration via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Before the Foreign Investment Law came into effect on January 1, 2020, the principal regulations governing the distribution of dividends paid by wholly foreign-owned enterprises include the </w:t>
      </w:r>
      <w:r>
        <w:rPr>
          <w:rFonts w:ascii="Times New Roman" w:cs="Times New Roman" w:eastAsia="Times New Roman" w:hAnsi="Times New Roman"/>
          <w:sz w:val="18"/>
          <w:szCs w:val="18"/>
          <w:i w:val="1"/>
          <w:iCs w:val="1"/>
          <w:color w:val="auto"/>
        </w:rPr>
        <w:t>PRC Wholly Foreign-Owned Enterprise Law</w:t>
      </w:r>
      <w:r>
        <w:rPr>
          <w:rFonts w:ascii="Times New Roman" w:cs="Times New Roman" w:eastAsia="Times New Roman" w:hAnsi="Times New Roman"/>
          <w:sz w:val="18"/>
          <w:szCs w:val="18"/>
          <w:color w:val="auto"/>
        </w:rPr>
        <w:t xml:space="preserve"> issued in April 1986 and most recently amended in September 2016, and the </w:t>
      </w:r>
      <w:r>
        <w:rPr>
          <w:rFonts w:ascii="Times New Roman" w:cs="Times New Roman" w:eastAsia="Times New Roman" w:hAnsi="Times New Roman"/>
          <w:sz w:val="18"/>
          <w:szCs w:val="18"/>
          <w:i w:val="1"/>
          <w:iCs w:val="1"/>
          <w:color w:val="auto"/>
        </w:rPr>
        <w:t>PRC Implementation Regulations on the Wholly Foreign-Owned Enterprise Law</w:t>
      </w:r>
      <w:r>
        <w:rPr>
          <w:rFonts w:ascii="Times New Roman" w:cs="Times New Roman" w:eastAsia="Times New Roman" w:hAnsi="Times New Roman"/>
          <w:sz w:val="18"/>
          <w:szCs w:val="18"/>
          <w:color w:val="auto"/>
        </w:rPr>
        <w:t xml:space="preserve"> issued in December 1990 and most recently amended in February 2014. Under these regulations, wholly foreign-owned enterprises in China may pay dividends only out of their accumulated profits, if any, as determined in accordance with PRC accounting standards and regulations. In addition, a wholly foreign-owned enterprise in China is required to set aside at least 10% of its after-tax profit based on PRC accounting standards each year to its general reserves until its cumulative total reserve funds reach 50% of its registered capital. These reserve funds, however, may not be distributed as cash dividends.</w:t>
      </w:r>
    </w:p>
    <w:p>
      <w:pPr>
        <w:spacing w:after="0" w:line="18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color w:val="auto"/>
        </w:rPr>
        <w:t xml:space="preserve">On January 1, 2020, the Foreign Investment Law and the Implementation Regulations came into effect, which repealed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Wholly Foreign-Owned Enterprise Law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Implementation Regulations on the Wholly Foreign-Owned Enterprise Law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Foreign Investment Law, the corporate governance matters, including the distribution of dividends, shall be governed by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Partnership Law of the PRC</w:t>
      </w:r>
      <w:r>
        <w:rPr>
          <w:rFonts w:ascii="Times New Roman" w:cs="Times New Roman" w:eastAsia="Times New Roman" w:hAnsi="Times New Roman"/>
          <w:sz w:val="18"/>
          <w:szCs w:val="18"/>
          <w:color w:val="auto"/>
        </w:rPr>
        <w:t xml:space="preserve">, or other laws of the PRC. Pursuant to </w:t>
      </w:r>
      <w:r>
        <w:rPr>
          <w:rFonts w:ascii="Times New Roman" w:cs="Times New Roman" w:eastAsia="Times New Roman" w:hAnsi="Times New Roman"/>
          <w:sz w:val="18"/>
          <w:szCs w:val="18"/>
          <w:i w:val="1"/>
          <w:iCs w:val="1"/>
          <w:color w:val="auto"/>
        </w:rPr>
        <w:t>the Company Law of the PRC</w:t>
      </w:r>
      <w:r>
        <w:rPr>
          <w:rFonts w:ascii="Times New Roman" w:cs="Times New Roman" w:eastAsia="Times New Roman" w:hAnsi="Times New Roman"/>
          <w:sz w:val="18"/>
          <w:szCs w:val="18"/>
          <w:color w:val="auto"/>
        </w:rPr>
        <w:t>, issued on December 29, 1993 and most recently amended on December 29, 2023, which will take effect on July 1, 2024, a company is required to set aside 10% of its after-tax profit of the current year to its general reserves until its cumulative total reserve funds reach 50% of its registered capital. If the reserve funds are insufficient to make up the company’s losses of the previous year, the after-tax profit of the current year shall first be used for making up the losses before being set aside to reserve funds. After the losses have been made up and common reserves have been drawn, the remaining profits shall be distributed to shareholders.</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According to the Foreign Investment Law and the Implementation Regulations, the foreign-invested enterprises established before January 1, 2020 may elect to maintain their current corporate governance rules, including the dividend distribution policy, adopted under </w:t>
      </w:r>
      <w:r>
        <w:rPr>
          <w:rFonts w:ascii="Times New Roman" w:cs="Times New Roman" w:eastAsia="Times New Roman" w:hAnsi="Times New Roman"/>
          <w:sz w:val="18"/>
          <w:szCs w:val="18"/>
          <w:i w:val="1"/>
          <w:iCs w:val="1"/>
          <w:color w:val="auto"/>
        </w:rPr>
        <w:t>the Wholly Foreign-Owned Enterprise Law</w:t>
      </w:r>
      <w:r>
        <w:rPr>
          <w:rFonts w:ascii="Times New Roman" w:cs="Times New Roman" w:eastAsia="Times New Roman" w:hAnsi="Times New Roman"/>
          <w:sz w:val="18"/>
          <w:szCs w:val="18"/>
          <w:color w:val="auto"/>
        </w:rPr>
        <w:t>, within five years after January 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Stock Incentive Plans</w:t>
      </w:r>
    </w:p>
    <w:p>
      <w:pPr>
        <w:spacing w:after="0" w:line="21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Notice of Issues Related to the Foreign Exchange Administration for Domestic Individuals Participating in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Incentive Plan of Overseas Listed Company</w:t>
      </w:r>
      <w:r>
        <w:rPr>
          <w:rFonts w:ascii="Times New Roman" w:cs="Times New Roman" w:eastAsia="Times New Roman" w:hAnsi="Times New Roman"/>
          <w:sz w:val="17"/>
          <w:szCs w:val="17"/>
          <w:color w:val="auto"/>
        </w:rPr>
        <w:t>, or the Share Incentive Rules, which was issued by the SAFE in February 2012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directors, supervisors, senior management and other employees participating in any share incentive plan of an overseas publicly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an overseas publicly 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 of proceeds for the participants of share incentive plans.</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Listings</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August 2006, six PRC regulatory authorities, including the CSRC, jointly adopted the </w:t>
      </w:r>
      <w:r>
        <w:rPr>
          <w:rFonts w:ascii="Times New Roman" w:cs="Times New Roman" w:eastAsia="Times New Roman" w:hAnsi="Times New Roman"/>
          <w:sz w:val="18"/>
          <w:szCs w:val="18"/>
          <w:i w:val="1"/>
          <w:iCs w:val="1"/>
          <w:color w:val="auto"/>
        </w:rPr>
        <w:t>Regulations on Mergers and Acquisitions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 Enterprises by Foreign Investors</w:t>
      </w:r>
      <w:r>
        <w:rPr>
          <w:rFonts w:ascii="Times New Roman" w:cs="Times New Roman" w:eastAsia="Times New Roman" w:hAnsi="Times New Roman"/>
          <w:sz w:val="18"/>
          <w:szCs w:val="18"/>
          <w:color w:val="auto"/>
        </w:rPr>
        <w:t>, or the M&amp;A Rules, amended in June 2009. The M&amp;A Rules, among other things, require that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Overseas SPV formed for overseas listing purposes and controlled directly or indirectly by the PRC citizens shall obtain the approval of the CSRC prior to overseas listing and trading of such Overseas SPV’s securities on an overseas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promulgated the Opinions on Strictly Cracking Down on Illegal Securities Activities in Accordance with Law, or the Opinions.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risks and incidents of China-based overseas listed companies, and cybersecurity and data privacy protection requirements.</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overseas market. If an overseas listed company purchases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PRC legal counsel, King &amp; Wood Mallesons, has advised us that, should we seek to (i) offer or list subsequent securities on U.S. stock exchanges, (ii) offer or list securities on other overseas stock exchange, or (iii) purchase PRC domestic assets through a single or multiple acquisitions, share swaps, shares transfers or other means, and such purchase constitutes direct or indirect listing of PRC domestic assets, we are required to file with the CSRC. However, our PRC legal counsel has further advised us that there are substantial uncertainties as to how the M&amp;A Rules and Overseas Listing Trial Measures will be interpreted or implemented in the context of an overseas offering, and its opinions summarized above are subject to any new laws, rules and regulations or detailed implementations and interpretations in any form relating to the M&amp;A Rules and Overseas Listing Trial Measures.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Labor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Contract Law</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As of January 1, 2008 and as amended on December 28, 2012, labor contracts shall be concluded in writing if labor relationships are to be or have been established between enterprises or institutions and the laborers fall under the </w:t>
      </w:r>
      <w:r>
        <w:rPr>
          <w:rFonts w:ascii="Times New Roman" w:cs="Times New Roman" w:eastAsia="Times New Roman" w:hAnsi="Times New Roman"/>
          <w:sz w:val="18"/>
          <w:szCs w:val="18"/>
          <w:i w:val="1"/>
          <w:iCs w:val="1"/>
          <w:color w:val="auto"/>
        </w:rPr>
        <w:t>Labor Contract Law of the PRC</w:t>
      </w:r>
      <w:r>
        <w:rPr>
          <w:rFonts w:ascii="Times New Roman" w:cs="Times New Roman" w:eastAsia="Times New Roman" w:hAnsi="Times New Roman"/>
          <w:sz w:val="18"/>
          <w:szCs w:val="18"/>
          <w:color w:val="auto"/>
        </w:rPr>
        <w:t xml:space="preserve">, or the Labor Contract Law. Enterprises and institutions are forbidden to force the laborers to work beyond the time limit and the employers shall pay laborers overtime working compensation in accordance with national regulations. In addition, the labor wages shall not be lower than local standards on minimum wages and shall be paid to the laborers timely. According to the </w:t>
      </w:r>
      <w:r>
        <w:rPr>
          <w:rFonts w:ascii="Times New Roman" w:cs="Times New Roman" w:eastAsia="Times New Roman" w:hAnsi="Times New Roman"/>
          <w:sz w:val="18"/>
          <w:szCs w:val="18"/>
          <w:i w:val="1"/>
          <w:iCs w:val="1"/>
          <w:color w:val="auto"/>
        </w:rPr>
        <w:t>Labor Law of the PRC</w:t>
      </w:r>
      <w:r>
        <w:rPr>
          <w:rFonts w:ascii="Times New Roman" w:cs="Times New Roman" w:eastAsia="Times New Roman" w:hAnsi="Times New Roman"/>
          <w:sz w:val="18"/>
          <w:szCs w:val="18"/>
          <w:color w:val="auto"/>
        </w:rPr>
        <w:t xml:space="preserve"> effective as of January 1, 1995, and as amended on December 29, 2018, enterprises and institutions shall establish and perfect their systems of workplace safety and sanitation, strictly abide by state rules and standards on workplace safety and sanitation, and educate laborers on workplace safety and sanitation. Workplace safety and sanitation facilities shall comply with state-fixed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Social Insurance and Housing Fund</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Social Insurance Law of the PRC</w:t>
      </w:r>
      <w:r>
        <w:rPr>
          <w:rFonts w:ascii="Times New Roman" w:cs="Times New Roman" w:eastAsia="Times New Roman" w:hAnsi="Times New Roman"/>
          <w:sz w:val="18"/>
          <w:szCs w:val="18"/>
          <w:color w:val="auto"/>
        </w:rPr>
        <w:t xml:space="preserve"> effective as of July 1, 2011, and as amended on December 29, 2018, the </w:t>
      </w:r>
      <w:r>
        <w:rPr>
          <w:rFonts w:ascii="Times New Roman" w:cs="Times New Roman" w:eastAsia="Times New Roman" w:hAnsi="Times New Roman"/>
          <w:sz w:val="18"/>
          <w:szCs w:val="18"/>
          <w:i w:val="1"/>
          <w:iCs w:val="1"/>
          <w:color w:val="auto"/>
        </w:rPr>
        <w:t xml:space="preserve">Regulations on Occupational Injury Insurance </w:t>
      </w:r>
      <w:r>
        <w:rPr>
          <w:rFonts w:ascii="Times New Roman" w:cs="Times New Roman" w:eastAsia="Times New Roman" w:hAnsi="Times New Roman"/>
          <w:sz w:val="18"/>
          <w:szCs w:val="18"/>
          <w:color w:val="auto"/>
        </w:rPr>
        <w:t>effective as of January 1, 2004 and as amended on December 20, 2010, the</w:t>
      </w:r>
      <w:r>
        <w:rPr>
          <w:rFonts w:ascii="Times New Roman" w:cs="Times New Roman" w:eastAsia="Times New Roman" w:hAnsi="Times New Roman"/>
          <w:sz w:val="18"/>
          <w:szCs w:val="18"/>
          <w:i w:val="1"/>
          <w:iCs w:val="1"/>
          <w:color w:val="auto"/>
        </w:rPr>
        <w:t xml:space="preserve"> Interim Measures Concerning the Maternity Insurance for Enterprise Employees </w:t>
      </w:r>
      <w:r>
        <w:rPr>
          <w:rFonts w:ascii="Times New Roman" w:cs="Times New Roman" w:eastAsia="Times New Roman" w:hAnsi="Times New Roman"/>
          <w:sz w:val="18"/>
          <w:szCs w:val="18"/>
          <w:color w:val="auto"/>
        </w:rPr>
        <w:t>effective as of January 1, 1995, the</w:t>
      </w:r>
      <w:r>
        <w:rPr>
          <w:rFonts w:ascii="Times New Roman" w:cs="Times New Roman" w:eastAsia="Times New Roman" w:hAnsi="Times New Roman"/>
          <w:sz w:val="18"/>
          <w:szCs w:val="18"/>
          <w:i w:val="1"/>
          <w:iCs w:val="1"/>
          <w:color w:val="auto"/>
        </w:rPr>
        <w:t xml:space="preserve"> Interim Regulations Concerning the Levy of Social Insurance </w:t>
      </w:r>
      <w:r>
        <w:rPr>
          <w:rFonts w:ascii="Times New Roman" w:cs="Times New Roman" w:eastAsia="Times New Roman" w:hAnsi="Times New Roman"/>
          <w:sz w:val="18"/>
          <w:szCs w:val="18"/>
          <w:color w:val="auto"/>
        </w:rPr>
        <w:t>effective as of January 22, 1999 and amended on March 24, 2019 and the</w:t>
      </w:r>
      <w:r>
        <w:rPr>
          <w:rFonts w:ascii="Times New Roman" w:cs="Times New Roman" w:eastAsia="Times New Roman" w:hAnsi="Times New Roman"/>
          <w:sz w:val="18"/>
          <w:szCs w:val="18"/>
          <w:i w:val="1"/>
          <w:iCs w:val="1"/>
          <w:color w:val="auto"/>
        </w:rPr>
        <w:t xml:space="preserve"> Regulations Concerning the Administration of Housing Fund </w:t>
      </w:r>
      <w:r>
        <w:rPr>
          <w:rFonts w:ascii="Times New Roman" w:cs="Times New Roman" w:eastAsia="Times New Roman" w:hAnsi="Times New Roman"/>
          <w:sz w:val="18"/>
          <w:szCs w:val="18"/>
          <w:color w:val="auto"/>
        </w:rPr>
        <w:t>effective as of April 3, 1999 and last amended on March 24, 2019, enterprises and institutions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shall provide their employees with welfare schemes covering pension insurance, unemployment insurance, maternity insurance, work-related injury insurance and medical insurance, as well as a housing provident fund and other welfare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Dispatch</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xml:space="preserve"> were promulgated by the Ministry of Human Resources and Social Security and became effective on March 1, 2014. 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xml:space="preserve"> set forth that labor dispatch should only be applicable to temporary, auxiliary or substitute positions, or the Three-Nature Requirements. Temporary positions shall mean positions subsisting for no more than six months, auxiliary positions shall mean positions of non-major business that serve positions of major businesses, and substitute positions shall mean positions that can be held by substitute employees for a certain period of time during which the employees who originally hold such positions are unable to work as a result of full-time study, being on leave or other reasons.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Property Leasing</w:t>
      </w:r>
    </w:p>
    <w:p>
      <w:pPr>
        <w:spacing w:after="0" w:line="2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Administrative Measures on the Lease of Commodity Housing</w:t>
      </w:r>
      <w:r>
        <w:rPr>
          <w:rFonts w:ascii="Times New Roman" w:cs="Times New Roman" w:eastAsia="Times New Roman" w:hAnsi="Times New Roman"/>
          <w:sz w:val="18"/>
          <w:szCs w:val="18"/>
          <w:color w:val="auto"/>
        </w:rPr>
        <w:t xml:space="preserve"> issued by the Ministry of Housing and Urban-Rural Development on December 1, 2010, the parties to a lease agreement shall go through the lease registration and filing process with the competent construction (real estate) departments of the municipalities directly under the PRC Government, cities and counties where the housing is located within 30 days after the lease agreement is signed. For those who fail to comply with the above regulations, such competent departments may impose a fine of between RMB1,000 and RMB10,000 per lease. Under the Civil Code of the PRC issued by the National People’s Congress on May 28, 2020 and effective on January 1, 2021, where the parties fail to perform the registration and filing procedures for the leasing contract in accordance with the laws and administrative regulations, the validity of the contract is not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1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Copyright Law</w:t>
      </w:r>
      <w:r>
        <w:rPr>
          <w:rFonts w:ascii="Times New Roman" w:cs="Times New Roman" w:eastAsia="Times New Roman" w:hAnsi="Times New Roman"/>
          <w:sz w:val="18"/>
          <w:szCs w:val="18"/>
          <w:color w:val="auto"/>
        </w:rPr>
        <w:t xml:space="preserve"> of the PRC, as most recently amended in November 2020, copyrights include personal rights such as the right of publication and that of attribution as well as property rights such as the right of production and that of distribution.</w:t>
      </w:r>
    </w:p>
    <w:p>
      <w:pPr>
        <w:spacing w:after="0" w:line="1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Reproducing, distributing, performing, projecting, broadcasting or compiling a work or communicating the same to the public via an information network without permission from the owner of the copyright therein, unless otherwise provided in the Copyright Law of the PRC, shall constitute infringements of copyrights. The infringer shall, according to the circumstances of the case, undertake to cease the infringement, take remedial action, and offer an apology, pay damages, etc.</w:t>
      </w:r>
    </w:p>
    <w:p>
      <w:pPr>
        <w:spacing w:after="0" w:line="17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Computer Software Copyright Protection Regulations</w:t>
      </w:r>
      <w:r>
        <w:rPr>
          <w:rFonts w:ascii="Times New Roman" w:cs="Times New Roman" w:eastAsia="Times New Roman" w:hAnsi="Times New Roman"/>
          <w:sz w:val="18"/>
          <w:szCs w:val="18"/>
          <w:color w:val="auto"/>
        </w:rPr>
        <w:t xml:space="preserve"> promulgated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Trademark Law of the PRC</w:t>
      </w:r>
      <w:r>
        <w:rPr>
          <w:rFonts w:ascii="Times New Roman" w:cs="Times New Roman" w:eastAsia="Times New Roman" w:hAnsi="Times New Roman"/>
          <w:sz w:val="18"/>
          <w:szCs w:val="18"/>
          <w:color w:val="auto"/>
        </w:rPr>
        <w:t>, as most recently amended on April 23, 2019 and effective on November 1, 2019, the right to exclusive use of a registered trademark shall be limited to trademarks that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pay damages, etc.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Domain names are protected under the </w:t>
      </w:r>
      <w:r>
        <w:rPr>
          <w:rFonts w:ascii="Times New Roman" w:cs="Times New Roman" w:eastAsia="Times New Roman" w:hAnsi="Times New Roman"/>
          <w:sz w:val="18"/>
          <w:szCs w:val="18"/>
          <w:i w:val="1"/>
          <w:iCs w:val="1"/>
          <w:color w:val="auto"/>
        </w:rPr>
        <w:t>Administrative Measures on the Internet Domain Names</w:t>
      </w:r>
      <w:r>
        <w:rPr>
          <w:rFonts w:ascii="Times New Roman" w:cs="Times New Roman" w:eastAsia="Times New Roman" w:hAnsi="Times New Roman"/>
          <w:sz w:val="18"/>
          <w:szCs w:val="18"/>
          <w:color w:val="auto"/>
        </w:rPr>
        <w:t>, which were promulgated by the MIIT on August 24, 2017 and became 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completion of the application procedure.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 in the PRC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PRC Enterprise Income Tax Law</w:t>
      </w:r>
      <w:r>
        <w:rPr>
          <w:rFonts w:ascii="Times New Roman" w:cs="Times New Roman" w:eastAsia="Times New Roman" w:hAnsi="Times New Roman"/>
          <w:sz w:val="18"/>
          <w:szCs w:val="18"/>
          <w:color w:val="auto"/>
        </w:rPr>
        <w:t xml:space="preserve">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within China is considered a “resident enterprise” for PRC enterprise income tax purposes and is generally subject to a uniform 25% enterprise income tax rate on its worldwide income. Under the implementation regulations to the PRC Enterprise Income Tax Law,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is defined as the body that exercises full and substantial control and overall management over the business, productions, personnel, accounts and properties of an enterprise.</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April 2009, the Ministry of Finance, or MOF, and SAT jointly issued the </w:t>
      </w:r>
      <w:r>
        <w:rPr>
          <w:rFonts w:ascii="Times New Roman" w:cs="Times New Roman" w:eastAsia="Times New Roman" w:hAnsi="Times New Roman"/>
          <w:sz w:val="18"/>
          <w:szCs w:val="18"/>
          <w:i w:val="1"/>
          <w:iCs w:val="1"/>
          <w:color w:val="auto"/>
        </w:rPr>
        <w:t>Notice on Issues Concerning Process of Enterprise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in Enterprise Restructuring Business</w:t>
      </w:r>
      <w:r>
        <w:rPr>
          <w:rFonts w:ascii="Times New Roman" w:cs="Times New Roman" w:eastAsia="Times New Roman" w:hAnsi="Times New Roman"/>
          <w:sz w:val="18"/>
          <w:szCs w:val="18"/>
          <w:color w:val="auto"/>
        </w:rPr>
        <w:t>, or the Circular 59. In December 2009, SAT issued the</w:t>
      </w:r>
      <w:r>
        <w:rPr>
          <w:rFonts w:ascii="Times New Roman" w:cs="Times New Roman" w:eastAsia="Times New Roman" w:hAnsi="Times New Roman"/>
          <w:sz w:val="18"/>
          <w:szCs w:val="18"/>
          <w:i w:val="1"/>
          <w:iCs w:val="1"/>
          <w:color w:val="auto"/>
        </w:rPr>
        <w:t xml:space="preserve"> Notice on Strengthening Administration of Enterprise Income Tax for Share Transfers by Non-PRC Resident Enterprises</w:t>
      </w:r>
      <w:r>
        <w:rPr>
          <w:rFonts w:ascii="Times New Roman" w:cs="Times New Roman" w:eastAsia="Times New Roman" w:hAnsi="Times New Roman"/>
          <w:sz w:val="18"/>
          <w:szCs w:val="18"/>
          <w:color w:val="auto"/>
        </w:rPr>
        <w:t>, or the Circular 698. Both Circular 59 and Circular 698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became effective retroactively as of January 2008. In March 2011, SAT issued the </w:t>
      </w:r>
      <w:r>
        <w:rPr>
          <w:rFonts w:ascii="Times New Roman" w:cs="Times New Roman" w:eastAsia="Times New Roman" w:hAnsi="Times New Roman"/>
          <w:sz w:val="18"/>
          <w:szCs w:val="18"/>
          <w:i w:val="1"/>
          <w:iCs w:val="1"/>
          <w:color w:val="auto"/>
        </w:rPr>
        <w:t>Notice on Several Issues</w:t>
      </w:r>
      <w:r>
        <w:rPr>
          <w:rFonts w:ascii="Times New Roman" w:cs="Times New Roman" w:eastAsia="Times New Roman" w:hAnsi="Times New Roman"/>
          <w:sz w:val="18"/>
          <w:szCs w:val="18"/>
          <w:color w:val="auto"/>
        </w:rPr>
        <w:t xml:space="preserve"> Regarding </w:t>
      </w:r>
      <w:r>
        <w:rPr>
          <w:rFonts w:ascii="Times New Roman" w:cs="Times New Roman" w:eastAsia="Times New Roman" w:hAnsi="Times New Roman"/>
          <w:sz w:val="18"/>
          <w:szCs w:val="18"/>
          <w:i w:val="1"/>
          <w:iCs w:val="1"/>
          <w:color w:val="auto"/>
        </w:rPr>
        <w:t>the Income Tax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Non-PRC Resident Enterprises</w:t>
      </w:r>
      <w:r>
        <w:rPr>
          <w:rFonts w:ascii="Times New Roman" w:cs="Times New Roman" w:eastAsia="Times New Roman" w:hAnsi="Times New Roman"/>
          <w:sz w:val="18"/>
          <w:szCs w:val="18"/>
          <w:color w:val="auto"/>
        </w:rPr>
        <w:t>, or the SAT Circular 24, effective in April 2011. By promulgating and implementing these circulars,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tax authorities have enhanced their scrutiny over the direct or indirect transfer of equity interests in a PRC resident enterprise by a non-resident enterprise.</w:t>
      </w:r>
    </w:p>
    <w:p>
      <w:pPr>
        <w:spacing w:after="0" w:line="18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In February 2015, SAT issued the </w:t>
      </w:r>
      <w:r>
        <w:rPr>
          <w:rFonts w:ascii="Times New Roman" w:cs="Times New Roman" w:eastAsia="Times New Roman" w:hAnsi="Times New Roman"/>
          <w:sz w:val="18"/>
          <w:szCs w:val="18"/>
          <w:i w:val="1"/>
          <w:iCs w:val="1"/>
          <w:color w:val="auto"/>
        </w:rPr>
        <w:t>Notice on Certain Corporate Income Tax Matters on Indirect Transfer of Properties by Non-PRC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Resident Enterprises</w:t>
      </w:r>
      <w:r>
        <w:rPr>
          <w:rFonts w:ascii="Times New Roman" w:cs="Times New Roman" w:eastAsia="Times New Roman" w:hAnsi="Times New Roman"/>
          <w:sz w:val="18"/>
          <w:szCs w:val="18"/>
          <w:color w:val="auto"/>
        </w:rPr>
        <w:t>, or the SAT Circular 7, to supersede existing provisions in relation to the indirect transfer as set forth in Circular 698,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and the purchase and sale of equity through public securities markets. However, it also brings challenges to both the foreign transferor and transferee of the indirect transfer as they have to determine whether the transaction should be subject to PRC tax and to file or withhold the PRC tax accordingly. In October 2017, SAT issued </w:t>
      </w:r>
      <w:r>
        <w:rPr>
          <w:rFonts w:ascii="Times New Roman" w:cs="Times New Roman" w:eastAsia="Times New Roman" w:hAnsi="Times New Roman"/>
          <w:sz w:val="18"/>
          <w:szCs w:val="18"/>
          <w:i w:val="1"/>
          <w:iCs w:val="1"/>
          <w:color w:val="auto"/>
        </w:rPr>
        <w:t>the Announcement on Issues Relating to Withholding at Source of Income Tax of Non-resident Enterprises</w:t>
      </w:r>
      <w:r>
        <w:rPr>
          <w:rFonts w:ascii="Times New Roman" w:cs="Times New Roman" w:eastAsia="Times New Roman" w:hAnsi="Times New Roman"/>
          <w:sz w:val="18"/>
          <w:szCs w:val="18"/>
          <w:color w:val="auto"/>
        </w:rPr>
        <w:t>, or the SAT Circular 37, amended in June 2018. The SAT Circular 37 superseded the Non-resident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SAT Circular 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Provisional Regulations on Value-Added Tax of the PRC</w:t>
      </w:r>
      <w:r>
        <w:rPr>
          <w:rFonts w:ascii="Times New Roman" w:cs="Times New Roman" w:eastAsia="Times New Roman" w:hAnsi="Times New Roman"/>
          <w:sz w:val="18"/>
          <w:szCs w:val="18"/>
          <w:color w:val="auto"/>
        </w:rPr>
        <w:t xml:space="preserve"> promulgated on December 13, 1993 and last amended on November 19, 2017 and its implementation rules, all entities or individuals in the PRC engaging in the sale of goods, the provision of processing services, repairs and replacement services, and the importation of goods are required to pay value-added tax. Pursuant to the </w:t>
      </w:r>
      <w:r>
        <w:rPr>
          <w:rFonts w:ascii="Times New Roman" w:cs="Times New Roman" w:eastAsia="Times New Roman" w:hAnsi="Times New Roman"/>
          <w:sz w:val="18"/>
          <w:szCs w:val="18"/>
          <w:i w:val="1"/>
          <w:iCs w:val="1"/>
          <w:color w:val="auto"/>
        </w:rPr>
        <w:t xml:space="preserve">Circular on Comprehensively Promoting the Pilot Program of the Collection of Value-Added Tax in Lieu of Business Tax </w:t>
      </w:r>
      <w:r>
        <w:rPr>
          <w:rFonts w:ascii="Times New Roman" w:cs="Times New Roman" w:eastAsia="Times New Roman" w:hAnsi="Times New Roman"/>
          <w:sz w:val="18"/>
          <w:szCs w:val="18"/>
          <w:color w:val="auto"/>
        </w:rPr>
        <w:t>(the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36”), which was promulgated by the Ministry of Finance and the State Administration of Taxation on March 23, 2016, implemented on May 1, 2016, and recently amended on March 20, 2019, the pilot program of the collection of value-added tax in lieu of business tax shall be promoted nationwide in a comprehensive manner as of May 1, 2016, and all taxpayers of business tax engaged in the building industry, the real estate industry, the financial industry and the life service industry shall be included in the scope of the pilot program with regard to payment of value-added tax instead of business tax. Pursuant to the </w:t>
      </w:r>
      <w:r>
        <w:rPr>
          <w:rFonts w:ascii="Times New Roman" w:cs="Times New Roman" w:eastAsia="Times New Roman" w:hAnsi="Times New Roman"/>
          <w:sz w:val="18"/>
          <w:szCs w:val="18"/>
          <w:i w:val="1"/>
          <w:iCs w:val="1"/>
          <w:color w:val="auto"/>
        </w:rPr>
        <w:t>Circular of the Ministry of Finance and the State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Taxation on Adjusting Value-added Tax Rates </w:t>
      </w:r>
      <w:r>
        <w:rPr>
          <w:rFonts w:ascii="Times New Roman" w:cs="Times New Roman" w:eastAsia="Times New Roman" w:hAnsi="Times New Roman"/>
          <w:sz w:val="18"/>
          <w:szCs w:val="18"/>
          <w:color w:val="auto"/>
        </w:rPr>
        <w:t>promulgated on April 4, 2018 and effective on May 1, 2018, by Ministry of Finance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Taxation, where a taxpayer engages in a taxable sales activity for the value-added tax purpose or the imports of goods, the previous applicable 17% and 11% tax rates are adjusted to be 16% and 10% respectively.</w:t>
      </w:r>
    </w:p>
    <w:p>
      <w:pPr>
        <w:spacing w:after="0" w:line="189"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color w:val="auto"/>
        </w:rPr>
        <w:t xml:space="preserve">Pursuant to the </w:t>
      </w:r>
      <w:r>
        <w:rPr>
          <w:rFonts w:ascii="Times New Roman" w:cs="Times New Roman" w:eastAsia="Times New Roman" w:hAnsi="Times New Roman"/>
          <w:sz w:val="17"/>
          <w:szCs w:val="17"/>
          <w:i w:val="1"/>
          <w:iCs w:val="1"/>
          <w:color w:val="auto"/>
        </w:rPr>
        <w:t>Announcement on Relevant Policies for Deepening Value-Added Tax Reform</w:t>
      </w:r>
      <w:r>
        <w:rPr>
          <w:rFonts w:ascii="Times New Roman" w:cs="Times New Roman" w:eastAsia="Times New Roman" w:hAnsi="Times New Roman"/>
          <w:sz w:val="17"/>
          <w:szCs w:val="17"/>
          <w:color w:val="auto"/>
        </w:rPr>
        <w:t xml:space="preserve"> promulgated on March 20, 2019 by MOF, SAT and the General Administration of Customs and effective on April 1, 2019, with respect to VAT taxable sales or imported goods of a VAT general taxpayer, where the VAT rate of 16% and 10% applies currently, it shall be adjusted to 13% and 9%, respectively.</w:t>
      </w:r>
    </w:p>
    <w:p>
      <w:pPr>
        <w:spacing w:after="0" w:line="15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4.C.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contractual arrangements and Corporate Structure</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 Our corporate structure involves unique risks to investors in the ADSs. See “—3.D. Risk Factor—Risks Relating to Our Corporate Structure” for a detailed discussion.</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Historically, we, through the Beijing WFOE, entered into a series of contractual arrangements with the Former VIE as well as its shareholders so that we can hold certain foreign restricted licenses and permits, such as the ICP license, through the Former VIE. Though the Former VIE has not been an entity in which we own equity interests or through which we operate business, its financial results had been consolidated into our consolidated financial statements for the years ended or as of December 31, 2021, 2022 and 2023 for accounting purposes. 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Due to the termination, the financial results of the Former VIE will no longer be consolidated into our consolidated financial statements for accounting purpose since the date of termination.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115570</wp:posOffset>
            </wp:positionV>
            <wp:extent cx="6057900" cy="233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57900" cy="233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149225</wp:posOffset>
            </wp:positionV>
            <wp:extent cx="6057900" cy="2011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7900" cy="201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historically entered into these contractual arrangements because current PRC laws and regulations restrict foreign investment in certain telecommunications-related business, Luckin Coffee Inc. or its direct and indirect subsidiaries do not and cannot hold such licenses and permits through equity ownership in practice.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terms contained in these contractual arrangements enabled the Company to (i) direct the activities of the Former VIE that most significantly impact its economic performance, (ii) receive substantially all of the economic benefits of the Former VIE, and (iii) have an exclusive option to purchase all or part of the equity interests in the Former VIE when and to the extent permitted by the PRC law. As a result, the Company was considered the primary beneficiary of the Former VIE for accounting purposes and is able to consolidate the financial results of the Former VIE in its consolidated financial statements in accordance with U.S. GAAP for the years ended or as of December 31, 2021, 2022 and 2023. However, the Company had not owned equity interest in the Former VIE and its rights through these contractual arrangements may be less effective than equity ownership. Under such former contractual arrangements, uncertainties with respect to our corporate structure existed because the PRC courts have not determined whether the contractual arrangements with the Former VIE are enforceable and the PRC courts may determine that the Former VIE structure violates the restriction on foreign investment.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contractual arrangements with the Former VIE and Its Nominee Shareholders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established the Former VIE to hold certain foreign restricted licenses and permits which we might need in the future, such as the ICP license. The Former VIE also used to hold some of our intellectual properties which have been transferred to our PRC subsidiaries. Historically, the financial contribution of such Former VIE was not material to the Group. In 2021, 2022, and 2023, the Former VIE did not contribute any external revenues to our total revenues.</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former contractual arrangements entered into by and among the Beijing WFOE, the Former VIE and its shareholders, as described in more detail below, allowed us to:</w:t>
      </w:r>
    </w:p>
    <w:p>
      <w:pPr>
        <w:spacing w:after="0" w:line="163" w:lineRule="exact"/>
        <w:rPr>
          <w:sz w:val="20"/>
          <w:szCs w:val="20"/>
          <w:color w:val="auto"/>
        </w:rPr>
      </w:pPr>
    </w:p>
    <w:p>
      <w:pPr>
        <w:ind w:left="660" w:hanging="309"/>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activities of the Former VIE that most significantly impact its economic performance;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Former VIE for accounting purposes; and</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 in and/or assets of the Former VIE when and to the extent permitted by PRC laws.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a result of these contractual arrangements, we were the primary beneficiary of the Former VIE for accounting purposes and, therefore, have consolidated the financial results of the Former VIE in our consolidated financial statements in accordance with U.S. GAAP for the years ended or as of December 31, 2021, 2022 and 2023 for accounting purposes. However, our former contractual arrangements with the Former VIE may be less effective than having ownership in providing operational control and we may incur substantial costs to enforce the terms of the arrangements, and may not be successful.</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opinion of our PRC legal counsel, King &amp; Wood Mallesons:</w:t>
      </w:r>
    </w:p>
    <w:p>
      <w:pPr>
        <w:spacing w:after="0" w:line="217" w:lineRule="exact"/>
        <w:rPr>
          <w:sz w:val="20"/>
          <w:szCs w:val="20"/>
          <w:color w:val="auto"/>
        </w:rPr>
      </w:pPr>
    </w:p>
    <w:p>
      <w:pPr>
        <w:ind w:left="660" w:hanging="309"/>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 of the Former VIE is not in violation of applicable PRC laws and regulations currently in effect;</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contractual arrangements among the Beijing WFOE, the Former VIE and the shareholders of the Former VIE, governed by PRC law, are legal, valid, binding and enforceable in accordance with its terms and applicable PRC laws; and</w:t>
      </w:r>
    </w:p>
    <w:p>
      <w:pPr>
        <w:spacing w:after="0" w:line="163" w:lineRule="exact"/>
        <w:rPr>
          <w:rFonts w:ascii="Times New Roman" w:cs="Times New Roman" w:eastAsia="Times New Roman" w:hAnsi="Times New Roman"/>
          <w:sz w:val="18"/>
          <w:szCs w:val="18"/>
          <w:color w:val="auto"/>
        </w:rPr>
      </w:pPr>
    </w:p>
    <w:p>
      <w:pPr>
        <w:jc w:val="both"/>
        <w:ind w:left="660" w:hanging="309"/>
        <w:spacing w:after="0" w:line="25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former contractual arrangements among the Beijing WFOE, the Former VIE and the shareholders of the Former VIE, effectuated by the termination agreement entered into by and among the same parties in March 2024, governed by PRC law, is legal, valid, binding and enforceable in accordance with the terms of the termination agreement and applicable PRC laws.</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is a summary of the former contractual arrangements by and among the Beijing WFOE, the Former VIE and the shareholders of the Former VIE and their spouses, as applicable. These arrangements have been terminated in March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Provided Us with Controlling Financial Interest Over the Former VIE</w:t>
      </w:r>
    </w:p>
    <w:p>
      <w:pPr>
        <w:spacing w:after="0" w:line="2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Proxy Agreement and Power of Attorney. </w:t>
      </w:r>
      <w:r>
        <w:rPr>
          <w:rFonts w:ascii="Times New Roman" w:cs="Times New Roman" w:eastAsia="Times New Roman" w:hAnsi="Times New Roman"/>
          <w:sz w:val="17"/>
          <w:szCs w:val="17"/>
          <w:color w:val="auto"/>
        </w:rPr>
        <w:t>Pursuant to the Proxy Agreement and Power of Attorney among Beijing WFOE,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Former VIE and shareholders of the Former VIE, these shareholders irrevocably authorize Beijing WFOE or any person(s) designated by Beijing WFOE to act as his or her attorney-in-fact to exercise all of his or her rights as a shareholder of the Former VIE, including, but not limited to, the right to call and attend shareholders’ meetings, to execute and deliver any and all written resolutions and meeting minutes as a shareholder, to keep the official seal, the original and duplicate business licenses, proof of administrative permits, articles of association of the Former VIE and other key materials for the operation of the Former VIE in accordance with the applicable internal rules of Beijing WFOE, to vote by itself or by proxy on any matters discussed on shareholders’ meetings, to sell, transfer, pledge or dispose of any or all of the shares, to nominate, appoint or remove the directors, supervisors and senior management, to oversee the economic performance of the Former VIE, to have full access to the financial information of the Former VIE at any time, to approve annual budgets or declare dividends, to manage and dispose of the assets of the Former VIE, to have the full rights to control and manage the Former VIE’s finance accounting and daily operation, and other shareholder rights conferred by the articles of association of the Former VIE and the relevant laws and regulations. This agreement will remain in force as long as the Former VIE exists. The shareholders shall not have the right to terminate this agreement or revoke the appointment of the attorney-in-fact without the prior written consent of the Beijing WFOE.</w:t>
      </w:r>
    </w:p>
    <w:p>
      <w:pPr>
        <w:spacing w:after="0" w:line="13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Confirmation and Guarantee Letters. </w:t>
      </w:r>
      <w:r>
        <w:rPr>
          <w:rFonts w:ascii="Times New Roman" w:cs="Times New Roman" w:eastAsia="Times New Roman" w:hAnsi="Times New Roman"/>
          <w:sz w:val="18"/>
          <w:szCs w:val="18"/>
          <w:color w:val="auto"/>
        </w:rPr>
        <w:t>Each shareholder of the Former VIE has signed a Confirmation and Guarantee Letter.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Confirmation and Guarantee Letters, each of the shareholders of the Former VIE confirmed, represented and guaranteed that in no circumstances will their ability to exercise their rights in the Former VIE be affected or any act that may affect or hinder the fulfillment of their obligations under the contractual agreements be carried out by any other person that may be entitled to assume rights and interests in their equity rights in the Former VIE. Each of the shareholders of the Former VIE further confirmed that they will unwind the contractual agreements and transfer all of the shares of the Former VIE to Beijing WFOE or any party designated by Beijing WFOE as soon as the applicable laws of the PRC allow Beijing WFOE to operate the business operated by the Former VIE without the contractual agreements, and will return any consideration received through this to Beijing WFOE or any party designated by Beijing WFOE. Each of the shareholders of the Former VIE undertook that unless otherwise agreed by the Beijing WFOE in written form, they will not engage in, own or acquire any business that competes or might compete with the business of the Former VIE or its affiliated companies, will not give rise to conflict of interest between themselves and Beijing WFOE and will take any action as instructed by Beijing WFOE to eliminate the conflict once such conflict arises.</w:t>
      </w:r>
    </w:p>
    <w:p>
      <w:pPr>
        <w:spacing w:after="0" w:line="18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Spousal Consent Letters. </w:t>
      </w:r>
      <w:r>
        <w:rPr>
          <w:rFonts w:ascii="Times New Roman" w:cs="Times New Roman" w:eastAsia="Times New Roman" w:hAnsi="Times New Roman"/>
          <w:sz w:val="18"/>
          <w:szCs w:val="18"/>
          <w:color w:val="auto"/>
        </w:rPr>
        <w:t>The spouse of Mr. Guo Jinyi and the spouse of Mr. Wu Gang have signed spousal consent letters separately.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each spousal consent letter, the spouse unconditionally and irrevocably waives any rights or entitlements whatsoever to such shares that may be granted to her pursuant to applicable laws and undertakes not to make any assertion of rights to such shares. The spouse agrees and undertakes that she will take all necessary actions to ensure the proper performance of the contractual arrangements, and will be bound by the contractual arrangements in case she obtains any equity of the Former VIE due to any reason.</w:t>
      </w:r>
    </w:p>
    <w:p>
      <w:pPr>
        <w:spacing w:after="0" w:line="1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Share Pledge Agreement. </w:t>
      </w:r>
      <w:r>
        <w:rPr>
          <w:rFonts w:ascii="Times New Roman" w:cs="Times New Roman" w:eastAsia="Times New Roman" w:hAnsi="Times New Roman"/>
          <w:sz w:val="18"/>
          <w:szCs w:val="18"/>
          <w:color w:val="auto"/>
        </w:rPr>
        <w:t>Pursuant to the Share Pledge Agreement among Beijing WFOE and the shareholders of the Former VIE,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Former VIE have pledged 100% equity interest in the Former VIE to Beijing WFOE to guarantee the performance by the Former VIE and its shareholders of their obligations under the Master Exclusive Service Agreement, Business Cooperation Agreement, Exclusive Option Agreement and agreements to be executed among Beijing WFOE, the Former VIE and the shareholders from time to time. If the Former VIE or its shareholders breach their contractual obligations under these agreements, Beijing WFOE, as pledgee, will have the right to dispose of the pledged shares entirely or partially. The shareholders of the Former VIE also agreed, without Beijing WFOE’s prior written consent, not to transfer the pledged shares, establish or permit the existence of any security interest or other encumbrance on the pledged shares, or dispose of the pledged shares by any other means, except by the performance of the Exclusive Option Agreement. We have completed the registration of the pledge of equity interests in the Former VIE with the relevant office of State Administration for Market Regulation in accordance with the PRC Property Rights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Allowed Us to Receive Economic Benefits from the Former VIE For Accounting Purposes</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Master Exclusive Service Agreement. </w:t>
      </w:r>
      <w:r>
        <w:rPr>
          <w:rFonts w:ascii="Times New Roman" w:cs="Times New Roman" w:eastAsia="Times New Roman" w:hAnsi="Times New Roman"/>
          <w:sz w:val="18"/>
          <w:szCs w:val="18"/>
          <w:color w:val="auto"/>
        </w:rPr>
        <w:t>Pursuant to the Master Exclusive Service Agreement between Beijing WFOE and the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Beijing WFOE or its designated affiliated entities have the exclusive right to provide the Former VIE with technical support and business support services in return for fees equal to 100% of the consolidated net profits of the Former VIE. Without Beijing WFOE’s prior written consent, the Former VIE shall not, directly and indirectly, obtain the same or similar services as provided under this agreement from any third party, or enter into any similar agreement with any third party. Beijing WFOE has the right to determine the service fee charged to the Former VIE under this agreement by considering, among other things, the complexity of the services, the time spent by employees of the Beijing WFOE to provide the services, content and commercial value of the service provided, as well as the benchmark price of similar services in the market. Beijing WFOE will have the exclusive ownership of all intellectual property rights developed by performance of this agreement. This agreement will remain effective until it is terminated at the discretion of Beijing WFOE or upon the transfer of all the shares of the Former VIE to Beijing WFOE and/or a third party designated by Beijing WFOE.</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Business Cooperation Agreement. </w:t>
      </w:r>
      <w:r>
        <w:rPr>
          <w:rFonts w:ascii="Times New Roman" w:cs="Times New Roman" w:eastAsia="Times New Roman" w:hAnsi="Times New Roman"/>
          <w:sz w:val="18"/>
          <w:szCs w:val="18"/>
          <w:color w:val="auto"/>
        </w:rPr>
        <w:t>Pursuant to the Business Cooperation Agreement among Beijing WFOE, the Former VIE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Former VIE, the Former VIE and the shareholders of the Former VIE agreed and covenanted that, without obtaining Beijing WFOE’s written consent, the Former VIE shall not, and the shareholders shall cause the Former VIE not to, engage in any transaction that may materially affect its asset, obligation, right or operation, including but not limited to any activities not within its normal business scope, or operating its business in a way that is inconsistent with its past practice, a merger, reorganization, acquisition or restructuring of its principal business or assets, or an acquisition or investment in any other form, in favor of a third party, selling to or acquiring any tangible or intangible asset other than in the ordinary course of business, incurrence of any encumbrance on any of its assets, or an amendment to its articles of association. The Former VIE shall accept, and the shareholders shall cause the Former VIE to accept, suggestions raised by Beijing WFOE over the employee engagement and replacement, daily operation, dividend distribution and financial management systems of the Former VIE. The shareholders of the Former VIE shall only appoint persons designated by Beijing WFOE to be the directors of the Former VIE. This agreement will remain effective until it is terminated at the discretion of Beijing WFOE or upon the transfer of all the shares of the Former VIE to Beijing WFOE and/or a third party designated by Beijing WFOE.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Provided Us with the Option to Purchase the Equity Interests in the Former VIE</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Exclusive Option Agreement. </w:t>
      </w:r>
      <w:r>
        <w:rPr>
          <w:rFonts w:ascii="Times New Roman" w:cs="Times New Roman" w:eastAsia="Times New Roman" w:hAnsi="Times New Roman"/>
          <w:sz w:val="18"/>
          <w:szCs w:val="18"/>
          <w:color w:val="auto"/>
        </w:rPr>
        <w:t>Pursuant to the Exclusive Option Agreement among Beijing WFOE, the Former VIE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shareholders of the Former VIE irrevocably grant Beijing WFOE or any third party designated by Beijing WFOE an exclusive option to purchase all or part of their equity interests in the Former VIE at the lowest price permitted by applicable PRC laws. Those shareholders further undertake that they will neither allow the encumbrance of any security interest in the Former VIE, except for the pledge placed pursuant to the Share Pledge Agreement, nor transfer, mortgage or otherwise dispose of their legal or beneficial interests in the Former VIE without the prior written consent of Beijing WFOE, and will cause the shareholders’ meeting and/or the board of directors and/or the executive directors of the Former VIE not to approve such proposal. This agreement will remain effective until it is terminated at the discretion of Beijing WFOE or upon the transfer of all the equity interest in the Former VIE to Beijing WFOE and/or a third party designated by Beijing WFOE.</w:t>
      </w:r>
    </w:p>
    <w:p>
      <w:pPr>
        <w:spacing w:after="0" w:line="18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4.D.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principal executive office is located in Xiamen, China with an aggregate area of approximately 59,237.6 square meters. We are in the process of obtaining the real property ownership certificates of the building with such area.</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all of our self-operated store premises and some of our office space. For more information on our stores, see “—4.B. Business Overview—Our Store Network.”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own one parcel of site area of approximately 45,000 square meters in Pingnan, Fujian, China and one parcel of site area of approximately 53,000 square meters in Kunshan, Jiangsu, China, both of which are used as roasting facilities. We also own approximately 21,000 square meters of land in Baoshan, Yunnan Province, where we have established a green coffee beans processing facility. The land use rights for the three parcels of site area have been granted with expiry date on June 20, 2069, November 24, 2072, and May 22, 2073, respectively. See “Item 3. Key Information—3.D. Risk Factors—Risks Relating to Our Business and Industry— Unexpected termination of leases, failure to renew the lease of our existing premises or to renew such leases at acceptable terms, or failures to obtain necessary real-estate certificates, could materially and adversely affect our business.” In connection with the construction of own coffee roasting plants and processing facilities, we had paid an aggregate of approximately RMB478.9 million (US$67.4 million) for acquisition of land use rights, building of facilities and purchase of equipment as of December 31, 2023. We plan to expand our supply chain network by leasing, constructing or purchasing additional facilities across China over the next several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1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3.D. Risk Factors” and elsewhere in this annual report.</w:t>
      </w:r>
    </w:p>
    <w:p>
      <w:pPr>
        <w:spacing w:after="0" w:line="17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Results of Operations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business and results of operations are affected by a number of general factors in China, including:</w:t>
      </w:r>
    </w:p>
    <w:p>
      <w:pPr>
        <w:spacing w:after="0" w:line="217" w:lineRule="exact"/>
        <w:rPr>
          <w:sz w:val="20"/>
          <w:szCs w:val="20"/>
          <w:color w:val="auto"/>
        </w:rPr>
      </w:pPr>
    </w:p>
    <w:p>
      <w:pPr>
        <w:ind w:left="660" w:hanging="30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 level of urbanization and level of per capita disposable income;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consumer expenditure, especially the expenditure on food and beverage;</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demand for coffee and tea, especially for freshly brewed coffee and tea drinks;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usage of mobile internet and increasing adoption of mobile payment.</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Unfavorable changes in any of these general factors could materially and adversely affect our business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and Engage Customers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revenue growth is mainly driven by our ability to attract new customers and actively engage and retain existing customers. Driven by technology, our new retail model is built upon our mobile apps and store networks, which allows us to stay close to our customers and engage them anytime, anywhere. We leverage our deep understanding of the coffee market in China and our operation experiences to analyze our customer behavior and industry trends, which enable us to attract new customers and retain and engage existing customers to increase items sold. As of December 31, 2023, we had 10,628 self-operated stores and 5,620 partnership stores in China and had 230.1 million cumulative transacting customers.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Product Offerings and Cross-Sell</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offer a wide variety of high-quality food and beverage items, mainly freshly brewed coffee. Powered by our robust product development capabilities, we have been constantly rolling out new products that became popular among consumers and well recognized by KOLs, such as our Coconut milk series, Velvet series and Newer series. Going forward, we endeavor to continuously offer innovative food and beverage products, as we believe that focusing on high-quality product development and strategically diversifying our product offerings will increase items sold and revenue per item. For the year ended December 31, 2023, we sold more than 2.0 billion items, among which 93.6% were freshly brewed coffee and tea drinks while for the year ended December 31, 2022, we sold approximately 982.3 million items, among which 90.9% were freshly brewed coffee and tea drinks.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Optimization of Our Sales Network</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store network affects our business and revenue growth. We started our business in October 2017 and we believe we are one of the largest coffee networks in China in terms of number of stores as of December 31, 2023. The following tables set out the total number of our self-operated stores and retail partnership stores and their movement for the periods indicated.</w:t>
      </w:r>
    </w:p>
    <w:p>
      <w:pPr>
        <w:sectPr>
          <w:pgSz w:w="11900" w:h="16838" w:orient="portrait"/>
          <w:cols w:equalWidth="0" w:num="1">
            <w:col w:w="9920"/>
          </w:cols>
          <w:pgMar w:left="980" w:top="50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40" w:right="100" w:hanging="126"/>
        <w:spacing w:after="0" w:line="225" w:lineRule="auto"/>
        <w:rPr>
          <w:sz w:val="20"/>
          <w:szCs w:val="20"/>
          <w:color w:val="auto"/>
        </w:rPr>
      </w:pPr>
      <w:r>
        <w:rPr>
          <w:rFonts w:ascii="Times New Roman" w:cs="Times New Roman" w:eastAsia="Times New Roman" w:hAnsi="Times New Roman"/>
          <w:sz w:val="14"/>
          <w:szCs w:val="14"/>
          <w:color w:val="auto"/>
        </w:rPr>
        <w:t>Number of self-operated stores at the end of the period</w:t>
      </w:r>
    </w:p>
    <w:p>
      <w:pPr>
        <w:ind w:left="140" w:hanging="126"/>
        <w:spacing w:after="0" w:line="228" w:lineRule="auto"/>
        <w:rPr>
          <w:sz w:val="20"/>
          <w:szCs w:val="20"/>
          <w:color w:val="auto"/>
        </w:rPr>
      </w:pPr>
      <w:r>
        <w:rPr>
          <w:rFonts w:ascii="Times New Roman" w:cs="Times New Roman" w:eastAsia="Times New Roman" w:hAnsi="Times New Roman"/>
          <w:sz w:val="14"/>
          <w:szCs w:val="14"/>
          <w:color w:val="auto"/>
        </w:rPr>
        <w:t>Net increase in the number of self-operated stores during the period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58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580" w:type="dxa"/>
            <w:vAlign w:val="bottom"/>
            <w:tcBorders>
              <w:top w:val="single" w:sz="8" w:color="auto"/>
            </w:tcBorders>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2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78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58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580" w:type="dxa"/>
            <w:vAlign w:val="bottom"/>
            <w:tcBorders>
              <w:top w:val="single" w:sz="8" w:color="auto"/>
            </w:tcBorders>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4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78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58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600" w:type="dxa"/>
            <w:vAlign w:val="bottom"/>
            <w:tcBorders>
              <w:top w:val="single" w:sz="8" w:color="auto"/>
            </w:tcBorders>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4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6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r>
      <w:tr>
        <w:trPr>
          <w:trHeight w:val="146"/>
        </w:trPr>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68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620" w:type="dxa"/>
            <w:vAlign w:val="bottom"/>
          </w:tcPr>
          <w:p>
            <w:pPr>
              <w:jc w:val="right"/>
              <w:ind w:right="15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2"/>
                <w:szCs w:val="12"/>
                <w:color w:val="auto"/>
              </w:rPr>
            </w:pPr>
          </w:p>
        </w:tc>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68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4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right"/>
              <w:ind w:right="5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80" w:type="dxa"/>
            <w:vAlign w:val="bottom"/>
          </w:tcPr>
          <w:p>
            <w:pPr>
              <w:jc w:val="right"/>
              <w:ind w:right="19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4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r>
      <w:tr>
        <w:trPr>
          <w:trHeight w:val="170"/>
        </w:trPr>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33"/>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4,675</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r>
      <w:tr>
        <w:trPr>
          <w:trHeight w:val="409"/>
        </w:trPr>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-571500</wp:posOffset>
            </wp:positionV>
            <wp:extent cx="6293485" cy="277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3485" cy="277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200"/>
            <w:col w:w="8200"/>
          </w:cols>
          <w:pgMar w:left="980" w:top="50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hanging="126"/>
        <w:spacing w:after="0" w:line="225" w:lineRule="auto"/>
        <w:rPr>
          <w:sz w:val="20"/>
          <w:szCs w:val="20"/>
          <w:color w:val="auto"/>
        </w:rPr>
      </w:pPr>
      <w:r>
        <w:rPr>
          <w:rFonts w:ascii="Times New Roman" w:cs="Times New Roman" w:eastAsia="Times New Roman" w:hAnsi="Times New Roman"/>
          <w:sz w:val="14"/>
          <w:szCs w:val="14"/>
          <w:color w:val="auto"/>
        </w:rPr>
        <w:t>Number of retail partnership stores at the end of the period</w:t>
      </w:r>
    </w:p>
    <w:p>
      <w:pPr>
        <w:ind w:left="140" w:right="160" w:hanging="126"/>
        <w:spacing w:after="0" w:line="225" w:lineRule="auto"/>
        <w:rPr>
          <w:sz w:val="20"/>
          <w:szCs w:val="20"/>
          <w:color w:val="auto"/>
        </w:rPr>
      </w:pPr>
      <w:r>
        <w:rPr>
          <w:rFonts w:ascii="Times New Roman" w:cs="Times New Roman" w:eastAsia="Times New Roman" w:hAnsi="Times New Roman"/>
          <w:sz w:val="14"/>
          <w:szCs w:val="14"/>
          <w:color w:val="auto"/>
        </w:rPr>
        <w:t>Net increase in the number of retail partnership stores during the period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60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580" w:type="dxa"/>
            <w:vAlign w:val="bottom"/>
            <w:tcBorders>
              <w:top w:val="single" w:sz="8" w:color="auto"/>
            </w:tcBorders>
            <w:gridSpan w:val="2"/>
          </w:tcPr>
          <w:p>
            <w:pPr>
              <w:ind w:left="6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6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76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0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580" w:type="dxa"/>
            <w:vAlign w:val="bottom"/>
            <w:tcBorders>
              <w:top w:val="single" w:sz="8" w:color="auto"/>
            </w:tcBorders>
            <w:gridSpan w:val="2"/>
          </w:tcPr>
          <w:p>
            <w:pPr>
              <w:jc w:val="center"/>
              <w:ind w:right="14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4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78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c>
          <w:tcPr>
            <w:tcW w:w="60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March</w:t>
            </w:r>
          </w:p>
        </w:tc>
        <w:tc>
          <w:tcPr>
            <w:tcW w:w="600" w:type="dxa"/>
            <w:vAlign w:val="bottom"/>
            <w:tcBorders>
              <w:top w:val="single" w:sz="8" w:color="auto"/>
            </w:tcBorders>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June</w:t>
            </w:r>
          </w:p>
        </w:tc>
        <w:tc>
          <w:tcPr>
            <w:tcW w:w="860" w:type="dxa"/>
            <w:vAlign w:val="bottom"/>
            <w:tcBorders>
              <w:top w:val="single" w:sz="8" w:color="auto"/>
            </w:tcBorders>
            <w:gridSpan w:val="2"/>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6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December</w:t>
            </w:r>
          </w:p>
        </w:tc>
      </w:tr>
      <w:tr>
        <w:trPr>
          <w:trHeight w:val="146"/>
        </w:trPr>
        <w:tc>
          <w:tcPr>
            <w:tcW w:w="46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700" w:type="dxa"/>
            <w:vAlign w:val="bottom"/>
          </w:tcPr>
          <w:p>
            <w:pPr>
              <w:jc w:val="right"/>
              <w:ind w:right="19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20" w:type="dxa"/>
            <w:vAlign w:val="bottom"/>
          </w:tcPr>
          <w:p>
            <w:pPr>
              <w:jc w:val="right"/>
              <w:ind w:right="15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6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68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4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6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2"/>
                <w:szCs w:val="12"/>
                <w:color w:val="auto"/>
              </w:rPr>
            </w:pPr>
          </w:p>
        </w:tc>
        <w:tc>
          <w:tcPr>
            <w:tcW w:w="460" w:type="dxa"/>
            <w:vAlign w:val="bottom"/>
          </w:tcPr>
          <w:p>
            <w:pPr>
              <w:jc w:val="right"/>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700" w:type="dxa"/>
            <w:vAlign w:val="bottom"/>
          </w:tcPr>
          <w:p>
            <w:pPr>
              <w:jc w:val="right"/>
              <w:ind w:right="190"/>
              <w:spacing w:after="0" w:line="146" w:lineRule="exact"/>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2"/>
                <w:szCs w:val="12"/>
                <w:color w:val="auto"/>
              </w:rPr>
            </w:pPr>
          </w:p>
        </w:tc>
        <w:tc>
          <w:tcPr>
            <w:tcW w:w="640" w:type="dxa"/>
            <w:vAlign w:val="bottom"/>
          </w:tcPr>
          <w:p>
            <w:pPr>
              <w:jc w:val="right"/>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31,</w:t>
            </w:r>
          </w:p>
        </w:tc>
      </w:tr>
      <w:tr>
        <w:trPr>
          <w:trHeight w:val="170"/>
        </w:trPr>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33"/>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5,620</w:t>
            </w:r>
          </w:p>
        </w:tc>
      </w:tr>
      <w:tr>
        <w:trPr>
          <w:trHeight w:val="554"/>
        </w:trPr>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6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-664210</wp:posOffset>
            </wp:positionV>
            <wp:extent cx="6293485" cy="277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3485" cy="2774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300" w:space="320"/>
            <w:col w:w="8300"/>
          </w:cols>
          <w:pgMar w:left="980" w:top="505" w:right="999" w:bottom="1440" w:gutter="0" w:footer="0" w:header="0"/>
          <w:type w:val="continuous"/>
        </w:sect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2019, we launched our retail partnership model initiative and opened the first partnership store in October 2019. Under this model, we will cooperate with selective retail partners to own and manage stores. This model will complement our self-operated store network and enable us to penetrate new markets more efficiently.</w:t>
      </w:r>
    </w:p>
    <w:p>
      <w:pPr>
        <w:spacing w:after="0" w:line="17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To improve profitability, we have conducted store performance reviews and upgraded our store opening criteria. As of December 31, 2023, we had 10,628 self-operated stores and 5,620 partnership stores.</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scale, supported by technology, enables us to gain more bargaining power over our suppliers and lower our operating cost as a percentage of our revenue. Our expanding presence in the market will also enhance our brand image, which we believe will further reduce our customer acquisition costs. We believe that our new retail model can help create a virtuous cycle which reinforces our leadership position.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Selling Prices of Our Products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adopted a market-oriented pricing model where we take into account a number of factors, including cost of materials and market demand for our products, as well as our customers’ preferences. To achieve effective pricing, we leverage our deep understanding of the coffee market in China and operating experiences to learn the market dynamics and discover patterns of customer behavior. We implement incentive programs in the form of coupons and discount vouchers. The effective selling prices of our products represent our retail prices after applying such discounts. Our future profitability will be affected by our ability to properly manage the effective selling prices of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Efficient Store Operations</w:t>
      </w:r>
    </w:p>
    <w:p>
      <w:pPr>
        <w:spacing w:after="0" w:line="2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pursue and achieve store operational efficiency by leveraging technology. With our strong technology capabilities and smart supply chain management system, we are able to analyze sales and inventory status for each store on a real-time basis and efficiently replenish inventory. Our technology also helps us manage our overall workforce and enables us to maintain efficient storefront operations.</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technology-driven new retail business model significantly improves our operational efficiency. We measure our store performance with store-level operating profit (loss), which is calculated by deducting cost of direct materials (including wastage in stores), cost of delivery packaging materials, storage and logistics expenses, store depreciation expense (including decoration loss for store closure), store rental and other operating costs, net delivery expense, transaction fees, rental deposit of closed stores and rental expense for preopening stores from our self-operated store revenue. We have changed the way we calculate our store-level operating profit (loss) to include all relevant store expenses at the store level (excluding sales and marketing expenses and general and administrative expenses) to align this metric with our internal KPIs. In 2023, we have changed the definition of “store level operating profit/(loss)” by further deducting commissions paid to third-party delivery platforms related to revenues from self-operated stores in order to better reflect the operating results of our self-operated stores. After the adjustment of the comparative figures, we achieved store-level operating profit which accounted for 18.3%, 24.3% and 22.2% of our self-operated store revenue for the year ended December 31, 2021, 2022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experience seasonality in our business, primarily as a result of order fluctuations in certain periods of a year as well as the product mix sold for different seasons. For example, we generally experience fewer purchase orders during winter and the Chinese New Year holidays. The decrease of sales during the holiday seasons is a typical pattern in the coffee market. However, our partnership stores may benefit from the holiday seasons as many of them are located in shopping malls of lower-tier cities, which usually have higher foot traffic during holidays. We also experience fluctuations in the types of products sold as a result of weather changes that affect consumers’ preference for different drinks. For risks related to the seasonality of our business, see “Item 3. Key Information—3.D. Risk Factors—Risks Relating to Our Business and Industry—Our business is subject to seasonal fluctuations and unexpected interruptions.”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key operating data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w w:val="98"/>
              </w:rPr>
              <w:t>For the three months ended or as of</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0" w:type="dxa"/>
            <w:vAlign w:val="bottom"/>
            <w:gridSpan w:val="3"/>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5"/>
              </w:rPr>
              <w:t>March 31,</w:t>
            </w:r>
          </w:p>
        </w:tc>
        <w:tc>
          <w:tcPr>
            <w:tcW w:w="48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1"/>
                <w:szCs w:val="11"/>
                <w:b w:val="1"/>
                <w:bCs w:val="1"/>
                <w:color w:val="auto"/>
                <w:w w:val="91"/>
              </w:rPr>
              <w:t>June 30,</w:t>
            </w:r>
          </w:p>
        </w:tc>
        <w:tc>
          <w:tcPr>
            <w:tcW w:w="78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5"/>
              </w:rPr>
              <w:t>September 30,</w:t>
            </w:r>
          </w:p>
        </w:tc>
        <w:tc>
          <w:tcPr>
            <w:tcW w:w="74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580" w:type="dxa"/>
            <w:vAlign w:val="bottom"/>
            <w:gridSpan w:val="2"/>
          </w:tcPr>
          <w:p>
            <w:pPr>
              <w:jc w:val="right"/>
              <w:ind w:right="47"/>
              <w:spacing w:after="0" w:line="97" w:lineRule="exact"/>
              <w:rPr>
                <w:sz w:val="20"/>
                <w:szCs w:val="20"/>
                <w:color w:val="auto"/>
              </w:rPr>
            </w:pPr>
            <w:r>
              <w:rPr>
                <w:rFonts w:ascii="Times New Roman" w:cs="Times New Roman" w:eastAsia="Times New Roman" w:hAnsi="Times New Roman"/>
                <w:sz w:val="11"/>
                <w:szCs w:val="11"/>
                <w:b w:val="1"/>
                <w:bCs w:val="1"/>
                <w:color w:val="auto"/>
                <w:w w:val="95"/>
              </w:rPr>
              <w:t>March 31,</w:t>
            </w:r>
          </w:p>
        </w:tc>
        <w:tc>
          <w:tcPr>
            <w:tcW w:w="56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rPr>
              <w:t>June 30,</w:t>
            </w:r>
          </w:p>
        </w:tc>
        <w:tc>
          <w:tcPr>
            <w:tcW w:w="860" w:type="dxa"/>
            <w:vAlign w:val="bottom"/>
            <w:gridSpan w:val="2"/>
          </w:tcPr>
          <w:p>
            <w:pPr>
              <w:jc w:val="right"/>
              <w:ind w:right="140"/>
              <w:spacing w:after="0" w:line="97"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74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60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5"/>
              </w:rPr>
              <w:t>March 31,</w:t>
            </w:r>
          </w:p>
        </w:tc>
        <w:tc>
          <w:tcPr>
            <w:tcW w:w="500" w:type="dxa"/>
            <w:vAlign w:val="bottom"/>
            <w:gridSpan w:val="2"/>
          </w:tcPr>
          <w:p>
            <w:pPr>
              <w:jc w:val="right"/>
              <w:ind w:right="100"/>
              <w:spacing w:after="0" w:line="97"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80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w w:val="98"/>
              </w:rPr>
              <w:t>September 30,</w:t>
            </w:r>
          </w:p>
        </w:tc>
        <w:tc>
          <w:tcPr>
            <w:tcW w:w="66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1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19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Total stores</w:t>
            </w: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4,951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5,259</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5,671</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6,024</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6,580</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7,195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7,846</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8,214</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9,351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10,836</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13,273</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16,248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0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Total self-operated stores</w:t>
            </w: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3,939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4,018</w:t>
            </w:r>
          </w:p>
        </w:tc>
        <w:tc>
          <w:tcPr>
            <w:tcW w:w="10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4,206</w:t>
            </w:r>
          </w:p>
        </w:tc>
        <w:tc>
          <w:tcPr>
            <w:tcW w:w="12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4,397</w:t>
            </w:r>
          </w:p>
        </w:tc>
        <w:tc>
          <w:tcPr>
            <w:tcW w:w="10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4,675</w:t>
            </w:r>
          </w:p>
        </w:tc>
        <w:tc>
          <w:tcPr>
            <w:tcW w:w="10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4,968</w:t>
            </w:r>
          </w:p>
        </w:tc>
        <w:tc>
          <w:tcPr>
            <w:tcW w:w="1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5,373</w:t>
            </w:r>
          </w:p>
        </w:tc>
        <w:tc>
          <w:tcPr>
            <w:tcW w:w="12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5,652</w:t>
            </w:r>
          </w:p>
        </w:tc>
        <w:tc>
          <w:tcPr>
            <w:tcW w:w="100" w:type="dxa"/>
            <w:vAlign w:val="bottom"/>
          </w:tcPr>
          <w:p>
            <w:pPr>
              <w:spacing w:after="0"/>
              <w:rPr>
                <w:sz w:val="10"/>
                <w:szCs w:val="10"/>
                <w:color w:val="auto"/>
              </w:rPr>
            </w:pPr>
          </w:p>
        </w:tc>
        <w:tc>
          <w:tcPr>
            <w:tcW w:w="5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6,310</w:t>
            </w:r>
          </w:p>
        </w:tc>
        <w:tc>
          <w:tcPr>
            <w:tcW w:w="10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7,188</w:t>
            </w:r>
          </w:p>
        </w:tc>
        <w:tc>
          <w:tcPr>
            <w:tcW w:w="100" w:type="dxa"/>
            <w:vAlign w:val="bottom"/>
          </w:tcPr>
          <w:p>
            <w:pPr>
              <w:spacing w:after="0"/>
              <w:rPr>
                <w:sz w:val="10"/>
                <w:szCs w:val="10"/>
                <w:color w:val="auto"/>
              </w:rPr>
            </w:pPr>
          </w:p>
        </w:tc>
        <w:tc>
          <w:tcPr>
            <w:tcW w:w="7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8,807</w:t>
            </w:r>
          </w:p>
        </w:tc>
        <w:tc>
          <w:tcPr>
            <w:tcW w:w="10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10,628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Total partnership stores</w:t>
            </w: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1,012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1,241</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1,465</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1,627</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1,905</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2,227</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2,473</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2,562</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3,041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3,648</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4,466</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5,620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Same-store sales growth for self-operated</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ind w:left="120"/>
              <w:spacing w:after="0" w:line="133" w:lineRule="exact"/>
              <w:rPr>
                <w:sz w:val="20"/>
                <w:szCs w:val="20"/>
                <w:color w:val="auto"/>
              </w:rPr>
            </w:pPr>
            <w:r>
              <w:rPr>
                <w:rFonts w:ascii="Times New Roman" w:cs="Times New Roman" w:eastAsia="Times New Roman" w:hAnsi="Times New Roman"/>
                <w:sz w:val="11"/>
                <w:szCs w:val="11"/>
                <w:color w:val="auto"/>
              </w:rPr>
              <w:t>stores</w:t>
            </w:r>
            <w:r>
              <w:rPr>
                <w:rFonts w:ascii="Times New Roman" w:cs="Times New Roman" w:eastAsia="Times New Roman" w:hAnsi="Times New Roman"/>
                <w:sz w:val="15"/>
                <w:szCs w:val="15"/>
                <w:color w:val="auto"/>
                <w:vertAlign w:val="superscript"/>
              </w:rPr>
              <w:t>(1)</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94.5 %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71.8 %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75.8 %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43.6 %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41.2 %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29.6 %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20.8 %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19.9 %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Average monthly transacting customers</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1"/>
                <w:szCs w:val="11"/>
                <w:color w:val="auto"/>
              </w:rPr>
              <w:t>(in thousands)</w:t>
            </w:r>
            <w:r>
              <w:rPr>
                <w:rFonts w:ascii="Times New Roman" w:cs="Times New Roman" w:eastAsia="Times New Roman" w:hAnsi="Times New Roman"/>
                <w:sz w:val="15"/>
                <w:szCs w:val="15"/>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12,285</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14,722</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15,975</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20,712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25,103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24,559</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29,489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58,477</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left="320" w:hanging="313"/>
        <w:spacing w:after="0" w:line="259"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 of total revenue from self-operated stores that has been in operation as at comparable period beginning and was not closed before current period ending with the number of average operating days over 15 per month over both current period and last year’s comparable period.</w:t>
      </w:r>
    </w:p>
    <w:p>
      <w:pPr>
        <w:spacing w:after="0" w:line="177" w:lineRule="exact"/>
        <w:rPr>
          <w:rFonts w:ascii="Times New Roman" w:cs="Times New Roman" w:eastAsia="Times New Roman" w:hAnsi="Times New Roman"/>
          <w:sz w:val="18"/>
          <w:szCs w:val="18"/>
          <w:color w:val="auto"/>
        </w:rPr>
      </w:pPr>
    </w:p>
    <w:p>
      <w:pPr>
        <w:ind w:left="320" w:hanging="313"/>
        <w:spacing w:after="0" w:line="274"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of each month’s number of transacting customers divided by the number of months during the period (includes those of partnership stores and those only paid with free-coupons).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breakdown of our net revenues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9"/>
        </w:trPr>
        <w:tc>
          <w:tcPr>
            <w:tcW w:w="30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r>
      <w:tr>
        <w:trPr>
          <w:trHeight w:val="139"/>
        </w:trPr>
        <w:tc>
          <w:tcPr>
            <w:tcW w:w="3060" w:type="dxa"/>
            <w:vAlign w:val="bottom"/>
          </w:tcPr>
          <w:p>
            <w:pPr>
              <w:spacing w:after="0"/>
              <w:rPr>
                <w:sz w:val="12"/>
                <w:szCs w:val="12"/>
                <w:color w:val="auto"/>
              </w:rPr>
            </w:pPr>
          </w:p>
        </w:tc>
        <w:tc>
          <w:tcPr>
            <w:tcW w:w="880" w:type="dxa"/>
            <w:vAlign w:val="bottom"/>
            <w:tcBorders>
              <w:bottom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3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5"/>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6,659,218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10,223,720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18,677,390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2,630,655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2"/>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Freshly brewed drinks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5,909,655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9,079,349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16,877,880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2"/>
        </w:trPr>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Other products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395,573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686,837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1,241,868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457,534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1,306,105</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3,069,262</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6,225,776</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876,882</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5"/>
        </w:trPr>
        <w:tc>
          <w:tcPr>
            <w:tcW w:w="30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net revenues</w:t>
            </w: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7,965,323</w:t>
            </w: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13,292,982</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24,903,166</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3,507,537</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Revenues from product sales. </w:t>
      </w:r>
      <w:r>
        <w:rPr>
          <w:rFonts w:ascii="Times New Roman" w:cs="Times New Roman" w:eastAsia="Times New Roman" w:hAnsi="Times New Roman"/>
          <w:sz w:val="18"/>
          <w:szCs w:val="18"/>
          <w:color w:val="auto"/>
        </w:rPr>
        <w:t>Revenues from product sales include:</w:t>
      </w:r>
    </w:p>
    <w:p>
      <w:pPr>
        <w:spacing w:after="0" w:line="217" w:lineRule="exact"/>
        <w:rPr>
          <w:sz w:val="20"/>
          <w:szCs w:val="20"/>
          <w:color w:val="auto"/>
        </w:rPr>
      </w:pPr>
    </w:p>
    <w:p>
      <w:pPr>
        <w:jc w:val="both"/>
        <w:ind w:left="660" w:hanging="309"/>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freshly brewed drinks</w:t>
      </w:r>
      <w:r>
        <w:rPr>
          <w:rFonts w:ascii="Times New Roman" w:cs="Times New Roman" w:eastAsia="Times New Roman" w:hAnsi="Times New Roman"/>
          <w:sz w:val="18"/>
          <w:szCs w:val="18"/>
          <w:color w:val="auto"/>
        </w:rPr>
        <w:t>. We offer an array of freshly brewed drinks, with a focus on freshly brewed coffee,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non-coffee drinks such as the Luckin Exfreezo series. Net revenues from sales of freshly brewed drinks are recognized upon delivery to customers, net of VAT, surcharges and discounts, if any.</w:t>
      </w:r>
    </w:p>
    <w:p>
      <w:pPr>
        <w:spacing w:after="0" w:line="172" w:lineRule="exact"/>
        <w:rPr>
          <w:rFonts w:ascii="Times New Roman" w:cs="Times New Roman" w:eastAsia="Times New Roman" w:hAnsi="Times New Roman"/>
          <w:sz w:val="18"/>
          <w:szCs w:val="18"/>
          <w:color w:val="auto"/>
        </w:rPr>
      </w:pPr>
    </w:p>
    <w:p>
      <w:pPr>
        <w:ind w:left="660" w:hanging="309"/>
        <w:spacing w:after="0" w:line="27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other products</w:t>
      </w:r>
      <w:r>
        <w:rPr>
          <w:rFonts w:ascii="Times New Roman" w:cs="Times New Roman" w:eastAsia="Times New Roman" w:hAnsi="Times New Roman"/>
          <w:sz w:val="18"/>
          <w:szCs w:val="18"/>
          <w:color w:val="auto"/>
        </w:rPr>
        <w:t>. Other products mainly consist of food and beverage items, such as light meals and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including premium instant coffee, inspirational cups and other consumer goods.</w:t>
      </w:r>
    </w:p>
    <w:p>
      <w:pPr>
        <w:spacing w:after="0" w:line="159" w:lineRule="exact"/>
        <w:rPr>
          <w:rFonts w:ascii="Times New Roman" w:cs="Times New Roman" w:eastAsia="Times New Roman" w:hAnsi="Times New Roman"/>
          <w:sz w:val="18"/>
          <w:szCs w:val="18"/>
          <w:color w:val="auto"/>
        </w:rPr>
      </w:pPr>
    </w:p>
    <w:p>
      <w:pPr>
        <w:ind w:left="660" w:hanging="309"/>
        <w:spacing w:after="0" w:line="27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others</w:t>
      </w:r>
      <w:r>
        <w:rPr>
          <w:rFonts w:ascii="Times New Roman" w:cs="Times New Roman" w:eastAsia="Times New Roman" w:hAnsi="Times New Roman"/>
          <w:sz w:val="18"/>
          <w:szCs w:val="18"/>
          <w:color w:val="auto"/>
        </w:rPr>
        <w:t>. Our revenues from others mainly include delivery fees derived from self-operated stores paid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membership fees collected from our subscribed members.</w:t>
      </w:r>
    </w:p>
    <w:p>
      <w:pPr>
        <w:spacing w:after="0" w:line="16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from partnership stores. </w:t>
      </w:r>
      <w:r>
        <w:rPr>
          <w:rFonts w:ascii="Times New Roman" w:cs="Times New Roman" w:eastAsia="Times New Roman" w:hAnsi="Times New Roman"/>
          <w:sz w:val="18"/>
          <w:szCs w:val="18"/>
          <w:color w:val="auto"/>
        </w:rPr>
        <w:t>Revenues from partnership stores mainly consist of sales of materials, equipment and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construction-related materials to the partnership stores, profit-sharing revenue from the partnership stores for using the Luckin Coffee or Luckin Tea brands as well as integrated store operation solution, and other services including delivery services and pre-opening services.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breakdown of our total operating expenses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9"/>
        </w:trPr>
        <w:tc>
          <w:tcPr>
            <w:tcW w:w="30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r>
      <w:tr>
        <w:trPr>
          <w:trHeight w:val="139"/>
        </w:trPr>
        <w:tc>
          <w:tcPr>
            <w:tcW w:w="3060" w:type="dxa"/>
            <w:vAlign w:val="bottom"/>
          </w:tcPr>
          <w:p>
            <w:pPr>
              <w:spacing w:after="0"/>
              <w:rPr>
                <w:sz w:val="12"/>
                <w:szCs w:val="12"/>
                <w:color w:val="auto"/>
              </w:rPr>
            </w:pPr>
          </w:p>
        </w:tc>
        <w:tc>
          <w:tcPr>
            <w:tcW w:w="88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15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23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23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right"/>
              <w:ind w:right="15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4"/>
          </w:tcPr>
          <w:p>
            <w:pPr>
              <w:ind w:left="6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(in thousands, except</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w w:val="94"/>
              </w:rPr>
              <w:t>for percentages)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3,198,552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5,178,963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10,892,214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1,534,136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2,036,772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2,829,987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5,167,482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727,825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604,580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819,549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2,010,699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283,201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336,855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1,286,523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1,269,988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1,459,550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1,829,651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194"/>
        </w:trPr>
        <w:tc>
          <w:tcPr>
            <w:tcW w:w="3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Losses and expenses related to</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Fabricated Transactions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339,557</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(28,515)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5"/>
        </w:trPr>
        <w:tc>
          <w:tcPr>
            <w:tcW w:w="306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8,504,377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12,136,803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21,877,548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3,081,388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Cost of materials. </w:t>
      </w:r>
      <w:r>
        <w:rPr>
          <w:rFonts w:ascii="Times New Roman" w:cs="Times New Roman" w:eastAsia="Times New Roman" w:hAnsi="Times New Roman"/>
          <w:sz w:val="18"/>
          <w:szCs w:val="18"/>
          <w:color w:val="auto"/>
        </w:rPr>
        <w:t>Cost of materials consists primarily of raw material costs, costs for low-value consumables, storage fees, and logistic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deliveries from warehouses to stores.</w:t>
      </w:r>
    </w:p>
    <w:p>
      <w:pPr>
        <w:spacing w:after="0" w:line="16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Store rental and other operating costs. </w:t>
      </w:r>
      <w:r>
        <w:rPr>
          <w:rFonts w:ascii="Times New Roman" w:cs="Times New Roman" w:eastAsia="Times New Roman" w:hAnsi="Times New Roman"/>
          <w:sz w:val="18"/>
          <w:szCs w:val="18"/>
          <w:color w:val="auto"/>
        </w:rPr>
        <w:t>Our store rental and other operating costs consist primarily of lease payments to lessors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opened stores, payroll costs for our storefront employees, utility expenses and other operating expenses.</w:t>
      </w:r>
    </w:p>
    <w:p>
      <w:pPr>
        <w:spacing w:after="0" w:line="16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Depreciation expenses consist primarily of depreciation charges for our machines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amortization expenses for leasehold improvements.</w:t>
      </w:r>
    </w:p>
    <w:p>
      <w:pPr>
        <w:spacing w:after="0" w:line="16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Delivery expenses. </w:t>
      </w:r>
      <w:r>
        <w:rPr>
          <w:rFonts w:ascii="Times New Roman" w:cs="Times New Roman" w:eastAsia="Times New Roman" w:hAnsi="Times New Roman"/>
          <w:sz w:val="18"/>
          <w:szCs w:val="18"/>
          <w:color w:val="auto"/>
        </w:rPr>
        <w:t>Delivery expenses consist primarily of fees for delivery service providers that we cooperate with to provide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our customers.</w:t>
      </w:r>
    </w:p>
    <w:p>
      <w:pPr>
        <w:spacing w:after="0" w:line="16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advertising expenses, commissions for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such as delivery platforms, subcontract service fee, as well as payroll expenses for sales and marketing employees.</w:t>
      </w:r>
    </w:p>
    <w:p>
      <w:pPr>
        <w:spacing w:after="0" w:line="16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payroll and other employee benefits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administrative employees, share-based compensation for key eligible managements and employees, research and development expenses, rental expenses for our office buildings, regular professional service fees and other office expenses.</w:t>
      </w:r>
    </w:p>
    <w:p>
      <w:pPr>
        <w:spacing w:after="0" w:line="17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preopening and other expenses. </w:t>
      </w:r>
      <w:r>
        <w:rPr>
          <w:rFonts w:ascii="Times New Roman" w:cs="Times New Roman" w:eastAsia="Times New Roman" w:hAnsi="Times New Roman"/>
          <w:sz w:val="18"/>
          <w:szCs w:val="18"/>
          <w:color w:val="auto"/>
        </w:rPr>
        <w:t>Before opening new stores, it usually takes us some time to decorate the new stores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for store opening. Store preopening expenses primarily include rental costs incurred before opening of new stores. Other expenses mainly include lease exit costs.</w:t>
      </w:r>
    </w:p>
    <w:p>
      <w:pPr>
        <w:spacing w:after="0" w:line="17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Impairment loss of long-lived assets. </w:t>
      </w:r>
      <w:r>
        <w:rPr>
          <w:rFonts w:ascii="Times New Roman" w:cs="Times New Roman" w:eastAsia="Times New Roman" w:hAnsi="Times New Roman"/>
          <w:sz w:val="18"/>
          <w:szCs w:val="18"/>
          <w:color w:val="auto"/>
        </w:rPr>
        <w:t>Impairment loss of long-lived assets primarily consists of impairment loss of our long-lived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fair value is less than the carrying amount. It consists of the impairment loss in connection with Luckin Coffee EXPRESS and Luckin Pop Mini, self-operating stores, idle equipment, license of Linefriends food for products sold in Luckin Pop Mini, as well as impairment loss in connection with Luckin Tea.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Losses and expenses related to Fabricated Transactions and Restructuring</w:t>
      </w:r>
      <w:r>
        <w:rPr>
          <w:rFonts w:ascii="Times New Roman" w:cs="Times New Roman" w:eastAsia="Times New Roman" w:hAnsi="Times New Roman"/>
          <w:sz w:val="18"/>
          <w:szCs w:val="18"/>
          <w:color w:val="auto"/>
        </w:rPr>
        <w:t>. Losses and expenses related to Fabricated Transactions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Restructuring consist primarily of (i) our legal and professional fees incurred to respond to a number of legal proceedings and </w:t>
      </w:r>
      <w:r>
        <w:rPr>
          <w:rFonts w:ascii="Times New Roman" w:cs="Times New Roman" w:eastAsia="Times New Roman" w:hAnsi="Times New Roman"/>
          <w:sz w:val="18"/>
          <w:szCs w:val="18"/>
          <w:color w:val="212121"/>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securities litigations </w:t>
      </w:r>
      <w:r>
        <w:rPr>
          <w:rFonts w:ascii="Times New Roman" w:cs="Times New Roman" w:eastAsia="Times New Roman" w:hAnsi="Times New Roman"/>
          <w:sz w:val="18"/>
          <w:szCs w:val="18"/>
          <w:color w:val="000000"/>
        </w:rPr>
        <w:t>negotiations and claims; (ii) professional fees and expenses reimbursed for the JPLs; (iii) advisory service fees and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other professional fees for the Restructuring; (iv) legal fees reimbursed for security holders, underwriters of the Company’s initial public offering and follow-on offering, and directors and officers; (v) professional fees related to the Internal Investigation; (vi) a penalty imposed by SAMR on two of our PRC subsidiaries and certain implicated third-party companies and relevant allowance as the result of Fabricated Transactions in connection with the legal proceedings and Restructuring; and (vii) contingent loss of VAT correction of Fabricated Transactions, etc.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subsidiary is incorporated in the British Virgin Islands. Under the current laws of the British Virgin Islands, it is not subject to income or capital gains tax under the current laws of the British Virgin Islands. The British Virgin Islands do not impose a withholding tax on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 tax. Under the two-tiered profits tax rates regime, the first 2.0 million Hong Kong Dollar (“HKD”) of profits of the qualifying group entity will be taxed at 8.25%, and profits above HKD2.0 million will be taxed at 16.5%. Hong Kong does not impose a withholding tax on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Under the current laws of Singapore, our subsidiaries in Singapore are subject to 17% income tax rate on any taxable income accruing in or derived from Singapore, or received in Singapore from outside Singapore.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subsidiaries incorporated in China and our Former VIE are subject to PRC enterprise income tax on their taxable income in accordance with the relevant PRC income tax laws. Pursuant to the PRC Enterprise Income Tax Law, or the EIT Law, which became effective on January 1, 2008 and most recently amended on December 29, 2018,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Luckin Coffee Information Technology (Xiamen) Ltd, Co. renewed the privilege of HNTEs and enjoyed a reduced 15% enterprise income tax rate from November 2023 to November 2026. From January 1, 2020 to December 31, 2024, enterprises registered in the Hainan Free Trade Port that are engaged in encouraged industries and are substantially in operation will be subject to a reduced 15% enterprise income tax rate. Luckin Trading (Hainan) Ltd, Co. and Luckin Coffee (Haikou) Ltd, Co. were qualified as such enterprises and enjoyed 15% preferential income tax rate. From 2019, the State Administration of Taxation provides a preferential corporate income tax rate of 20%, an exemption at 75% or 87.5% for the assessable taxable profits under RMB 1.0 million, an exemption at 50% or 75% for the assessable taxable profits between RMB 1.0 million and RMB 3.0 million, for qualified small enterprises with low profits. The actual preferential corporate income tax rates after considering the exemption were 2.5%, 2.5% and 5% for assessable taxable profits less than RMB 1.0 million, respectively, for the year ended December 31, 2021, 2022 and 2023, while the rates were 10%, 5% and 5% for the assessable taxable profits between RMB1.0 million and RMB3.0 million from 2021 to 2023. The policy of the actual preferential corporate income tax rates of 5% after considering the exemption will continue to be implemented until December 31, 2027. The enterprise income tax is calculated based on the entity’s global income as determined under PRC tax laws and accounting standards.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PRC subsidiaries are subject to value-added tax, or VAT, at a rate of 6%, 10% and 16% before April 1, 2019 and since then 6%, 9% and 13%, on our products and services, less any deductible VAT we have already paid or borne. They are also subject to surcharges on VAT payments in accordance with PRC law. As a Cayman Islands holding company, we may receive dividends from our PRC subsidiaries. The PRC EIT Law and its implementing rules provide that dividends paid by a PRC entity to a non-resident enterprise for income tax purposes are subject to PRC withholding tax at a rate of 10%, subject to reduction by an applicable tax treaty with China. Pursuant to the Arrangement between PRC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w:t>
      </w:r>
    </w:p>
    <w:p>
      <w:pPr>
        <w:spacing w:after="0" w:line="4" w:lineRule="exact"/>
        <w:rPr>
          <w:sz w:val="20"/>
          <w:szCs w:val="20"/>
          <w:color w:val="auto"/>
        </w:rPr>
      </w:pPr>
    </w:p>
    <w:p>
      <w:pPr>
        <w:jc w:val="both"/>
        <w:ind w:firstLine="7"/>
        <w:spacing w:after="0" w:line="246" w:lineRule="auto"/>
        <w:tabs>
          <w:tab w:leader="none" w:pos="3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directly owned such required percentage in the PRC resident enterprise throughout the 12 months prior to receiving the dividends. In October 2019, the State Administration of Taxation promulgated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when performing tax filings and collect and retain supporting documents, which will be subject to post-tax filing examinations by the relevant tax authorities.</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Accordingly, we may be able to benefit from the 5% withholding tax rate for the dividends received from PRC subsidiaries if we satisfy the conditions prescribed under SAT Circular 81 and other relevant tax rules and regulations. However, according to SAT Circular 81 and SAT Circular 35, if the relevant tax authorities consider that the transactions or arrangements we have are for the primary purpose of enjoying a favorable tax treatment, the relevant tax authorities may adjust the favorable withholding tax in the future.</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718"/>
              <w:spacing w:after="0" w:line="126" w:lineRule="exact"/>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738"/>
              <w:spacing w:after="0" w:line="126" w:lineRule="exact"/>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738"/>
              <w:spacing w:after="0" w:line="126" w:lineRule="exact"/>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718"/>
              <w:spacing w:after="0" w:line="126"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680" w:type="dxa"/>
            <w:vAlign w:val="bottom"/>
            <w:tcBorders>
              <w:bottom w:val="single" w:sz="8" w:color="auto"/>
            </w:tcBorders>
          </w:tcPr>
          <w:p>
            <w:pPr>
              <w:jc w:val="right"/>
              <w:ind w:right="138"/>
              <w:spacing w:after="0" w:line="12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 of net revenues</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138"/>
              <w:spacing w:after="0" w:line="12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 of net revenues</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ind w:right="138"/>
              <w:spacing w:after="0" w:line="126"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 of net revenues</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158"/>
              <w:spacing w:after="0" w:line="126" w:lineRule="exact"/>
              <w:rPr>
                <w:sz w:val="20"/>
                <w:szCs w:val="20"/>
                <w:color w:val="auto"/>
              </w:rPr>
            </w:pPr>
            <w:r>
              <w:rPr>
                <w:rFonts w:ascii="Times New Roman" w:cs="Times New Roman" w:eastAsia="Times New Roman" w:hAnsi="Times New Roman"/>
                <w:sz w:val="12"/>
                <w:szCs w:val="12"/>
                <w:b w:val="1"/>
                <w:bCs w:val="1"/>
                <w:color w:val="auto"/>
              </w:rPr>
              <w:t>US$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 of net revenues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w w:val="96"/>
              </w:rPr>
              <w:t>(in thousands, except</w:t>
            </w:r>
          </w:p>
        </w:tc>
        <w:tc>
          <w:tcPr>
            <w:tcW w:w="860" w:type="dxa"/>
            <w:vAlign w:val="bottom"/>
            <w:gridSpan w:val="3"/>
          </w:tcPr>
          <w:p>
            <w:pPr>
              <w:ind w:left="80"/>
              <w:spacing w:after="0" w:line="113" w:lineRule="exact"/>
              <w:rPr>
                <w:sz w:val="20"/>
                <w:szCs w:val="20"/>
                <w:color w:val="auto"/>
              </w:rPr>
            </w:pPr>
            <w:r>
              <w:rPr>
                <w:rFonts w:ascii="Times New Roman" w:cs="Times New Roman" w:eastAsia="Times New Roman" w:hAnsi="Times New Roman"/>
                <w:sz w:val="12"/>
                <w:szCs w:val="12"/>
                <w:b w:val="1"/>
                <w:bCs w:val="1"/>
                <w:color w:val="auto"/>
                <w:w w:val="91"/>
              </w:rPr>
              <w:t>for percentages)</w:t>
            </w: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revenues:</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Revenues from product sales</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6,659,218</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83.6</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10,223,720</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76.9</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18,677,390</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75.0</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2,630,655</w:t>
            </w:r>
          </w:p>
        </w:tc>
        <w:tc>
          <w:tcPr>
            <w:tcW w:w="6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i w:val="1"/>
                <w:iCs w:val="1"/>
                <w:color w:val="auto"/>
              </w:rPr>
              <w:t>Freshly brewed drinks</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5,909,655</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9,079,349</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16,877,880</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2,377,200</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i w:val="1"/>
                <w:iCs w:val="1"/>
                <w:color w:val="auto"/>
              </w:rPr>
              <w:t>Other products</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395,573</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686,837</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1,241,868</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174,913</w:t>
            </w:r>
          </w:p>
        </w:tc>
        <w:tc>
          <w:tcPr>
            <w:tcW w:w="6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i w:val="1"/>
                <w:iCs w:val="1"/>
                <w:color w:val="auto"/>
              </w:rPr>
              <w:t>Others</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353,990</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457,534</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557,642</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78,542</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Revenues from partnership stores</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1,306,105</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16.4</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3,069,262</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23.1</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6,225,776</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25.0</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876,882</w:t>
            </w:r>
          </w:p>
        </w:tc>
        <w:tc>
          <w:tcPr>
            <w:tcW w:w="6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8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net revenues</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7,965,323</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100.0</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13,292,982</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100.0</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24,903,166</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100.0</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3,507,537</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Cost of materials</w:t>
            </w:r>
          </w:p>
        </w:tc>
        <w:tc>
          <w:tcPr>
            <w:tcW w:w="7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(3,198,552)</w:t>
            </w:r>
          </w:p>
        </w:tc>
        <w:tc>
          <w:tcPr>
            <w:tcW w:w="120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(40.2)</w:t>
            </w: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(5,178,963)</w:t>
            </w:r>
          </w:p>
        </w:tc>
        <w:tc>
          <w:tcPr>
            <w:tcW w:w="1200" w:type="dxa"/>
            <w:vAlign w:val="bottom"/>
            <w:gridSpan w:val="3"/>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(39.0)</w:t>
            </w: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(10,892,214)</w:t>
            </w:r>
          </w:p>
        </w:tc>
        <w:tc>
          <w:tcPr>
            <w:tcW w:w="122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(43.7)</w:t>
            </w: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(1,534,136)</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Store rental and other operating costs</w:t>
            </w:r>
          </w:p>
        </w:tc>
        <w:tc>
          <w:tcPr>
            <w:tcW w:w="7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(2,036,772)</w:t>
            </w: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(25.6)</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(2,829,987)</w:t>
            </w: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(21.3)</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(5,167,482)</w:t>
            </w:r>
          </w:p>
        </w:tc>
        <w:tc>
          <w:tcPr>
            <w:tcW w:w="122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(20.8)</w:t>
            </w: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(727,825)</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Depreciation and amortization expenses</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(465,384)</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(391,936)</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(604,580)</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(85,153)</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Delivery expenses</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(819,549)</w:t>
            </w:r>
          </w:p>
        </w:tc>
        <w:tc>
          <w:tcPr>
            <w:tcW w:w="40" w:type="dxa"/>
            <w:vAlign w:val="bottom"/>
          </w:tcPr>
          <w:p>
            <w:pPr>
              <w:spacing w:after="0"/>
              <w:rPr>
                <w:sz w:val="11"/>
                <w:szCs w:val="11"/>
                <w:color w:val="auto"/>
              </w:rPr>
            </w:pP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(1,373,219)</w:t>
            </w: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(2,010,699)</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(283,201)</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Sales and marketing expenses</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(336,855)</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(570,122)</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(1,286,523)</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(181,203)</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General and administrative expenses</w:t>
            </w:r>
          </w:p>
        </w:tc>
        <w:tc>
          <w:tcPr>
            <w:tcW w:w="7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(1,269,988)</w:t>
            </w: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(15.9)</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(1,459,550)</w:t>
            </w:r>
          </w:p>
        </w:tc>
        <w:tc>
          <w:tcPr>
            <w:tcW w:w="120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(11.0)</w:t>
            </w: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(1,829,651)</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(7.3)</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(257,701)</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Store preopening and other expenses</w:t>
            </w:r>
          </w:p>
        </w:tc>
        <w:tc>
          <w:tcPr>
            <w:tcW w:w="7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(16,352)</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(36,012)</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(109,685)</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(15,449)</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Impairment loss of long-lived assets</w:t>
            </w:r>
          </w:p>
        </w:tc>
        <w:tc>
          <w:tcPr>
            <w:tcW w:w="72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(21,368)</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(221,810)</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(5,229)</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(736)</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ind w:left="120"/>
              <w:spacing w:after="0" w:line="114" w:lineRule="exact"/>
              <w:rPr>
                <w:sz w:val="20"/>
                <w:szCs w:val="20"/>
                <w:color w:val="auto"/>
              </w:rPr>
            </w:pPr>
            <w:r>
              <w:rPr>
                <w:rFonts w:ascii="Times New Roman" w:cs="Times New Roman" w:eastAsia="Times New Roman" w:hAnsi="Times New Roman"/>
                <w:sz w:val="12"/>
                <w:szCs w:val="12"/>
                <w:color w:val="auto"/>
              </w:rPr>
              <w:t>Losses and expenses related to</w:t>
            </w: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Fabricated Transactions and</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Restructuring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(339,557)</w:t>
            </w:r>
          </w:p>
        </w:tc>
        <w:tc>
          <w:tcPr>
            <w:tcW w:w="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(75,204)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28,515</w:t>
            </w:r>
          </w:p>
        </w:tc>
        <w:tc>
          <w:tcPr>
            <w:tcW w:w="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4,016</w:t>
            </w: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8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(8,504,377)</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(106.8)</w:t>
            </w:r>
          </w:p>
        </w:tc>
        <w:tc>
          <w:tcPr>
            <w:tcW w:w="1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(12,136,803)</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(91.3)</w:t>
            </w:r>
          </w:p>
        </w:tc>
        <w:tc>
          <w:tcPr>
            <w:tcW w:w="1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(21,877,548)</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(87.9)</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(3,081,388)</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Operating (loss)/ income</w:t>
            </w: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(539,054)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(6.8)</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1,156,179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8.7</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3,025,618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12.1</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426,149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Interest and investment income</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102,248</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84,923</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108,682</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15,308</w:t>
            </w:r>
          </w:p>
        </w:tc>
        <w:tc>
          <w:tcPr>
            <w:tcW w:w="6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and financing expenses</w:t>
            </w:r>
          </w:p>
        </w:tc>
        <w:tc>
          <w:tcPr>
            <w:tcW w:w="7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(35,490)</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(23,484)</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exchange gain, net*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12,441</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10,661</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2,968</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1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418</w:t>
            </w:r>
          </w:p>
        </w:tc>
        <w:tc>
          <w:tcPr>
            <w:tcW w:w="6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(expenses)/income, net</w:t>
            </w:r>
          </w:p>
        </w:tc>
        <w:tc>
          <w:tcPr>
            <w:tcW w:w="7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(16,513)</w:t>
            </w: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60,680</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62,283</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8,772</w:t>
            </w:r>
          </w:p>
        </w:tc>
        <w:tc>
          <w:tcPr>
            <w:tcW w:w="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Fair value changes of derivative asset</w:t>
            </w: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bifurcated from Series B Senior Secured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(6,381)</w:t>
            </w:r>
          </w:p>
        </w:tc>
        <w:tc>
          <w:tcPr>
            <w:tcW w:w="4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Reversal for SEC settlement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1,146,474</w:t>
            </w: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Provision for equity litigants</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(155,314)</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(279,967)</w:t>
            </w:r>
          </w:p>
        </w:tc>
        <w:tc>
          <w:tcPr>
            <w:tcW w:w="40" w:type="dxa"/>
            <w:vAlign w:val="bottom"/>
          </w:tcPr>
          <w:p>
            <w:pPr>
              <w:spacing w:after="0"/>
              <w:rPr>
                <w:sz w:val="11"/>
                <w:szCs w:val="11"/>
                <w:color w:val="auto"/>
              </w:rPr>
            </w:pP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1"/>
                <w:szCs w:val="11"/>
                <w:color w:val="auto"/>
              </w:rPr>
            </w:pPr>
          </w:p>
        </w:tc>
        <w:tc>
          <w:tcPr>
            <w:tcW w:w="76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(92,192)</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140" w:type="dxa"/>
            <w:vAlign w:val="bottom"/>
          </w:tcPr>
          <w:p>
            <w:pPr>
              <w:spacing w:after="0"/>
              <w:rPr>
                <w:sz w:val="11"/>
                <w:szCs w:val="11"/>
                <w:color w:val="auto"/>
              </w:rPr>
            </w:pPr>
          </w:p>
        </w:tc>
        <w:tc>
          <w:tcPr>
            <w:tcW w:w="7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(12,985)</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Gain from extinguishment of Series B</w:t>
            </w: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Senior Secured Notes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8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Net income before income taxes</w:t>
            </w: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514,792</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6.5</w:t>
            </w:r>
          </w:p>
        </w:tc>
        <w:tc>
          <w:tcPr>
            <w:tcW w:w="1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1,126,750</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8.5</w:t>
            </w:r>
          </w:p>
        </w:tc>
        <w:tc>
          <w:tcPr>
            <w:tcW w:w="1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3,107,359</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12.4</w:t>
            </w:r>
          </w:p>
        </w:tc>
        <w:tc>
          <w:tcPr>
            <w:tcW w:w="1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437,662</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Income tax benefit/ (expense)</w:t>
            </w:r>
          </w:p>
        </w:tc>
        <w:tc>
          <w:tcPr>
            <w:tcW w:w="6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63,861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0.8</w:t>
            </w:r>
          </w:p>
        </w:tc>
        <w:tc>
          <w:tcPr>
            <w:tcW w:w="12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(638,504)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(4.8)</w:t>
            </w:r>
          </w:p>
        </w:tc>
        <w:tc>
          <w:tcPr>
            <w:tcW w:w="12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(259,426)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(36,539)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6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578,653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7.3</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488,246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3.7</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2,847,933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11.4</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401,123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the Years Ended December 31, 2023 and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net revenues were RMB24,903.2 million (US$3,507.5 million) in 2023, increasing by 87.3% from RMB13,293.0 million in 2022. The growth of our net revenues was primarily attributable to the increase in the number of products sold, the increase in stores in operation and the increase in the number of monthly transacting customers. As of December 31, 2023, we had 230.1 million cumulative transacting customers, compared to 134.7 million as of December 31, 2022. In 2023, our average monthly total items sold in self-operated stores and unmanned coffee machines were approximately 112.9 million, compared to 54.8 million in 2022. In 2023, the net increase in the number of our self-operated stores was 4,976, resulting in a year-over-year self-operated store unit growth of 88.0%, ending the year with 10,628 self-operated stores.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product sales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revenues from product sales were RMB18,677.4 million (US$2,630.7 million) in 2023, increasing by 82.7% from RMB10,223.7 million in 2022. Our revenues from product sales consist of revenues from freshly brewed drinks, revenues from other products and revenues from others.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Revenues from freshly brewed drinks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net revenues from freshly brewed drinks were RMB16,877.9 million (US$2,377.2 million) in 2023, increasing by 85.9% from RMB9,079.3 million in 2022. The growth of our revenue from freshly brewed drinks was primarily driven by the increase in the number of our freshly brewed drinks sold, the increase in stores in operation and the increase in the number of monthly transacting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Revenues from other products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net revenues from other products were RMB1,241.9 million (US$174.9 million) in 2023, increasing by 80.8% from RMB686.8 million in 2022, primarily driven by the increase in the number of non-freshly brewed items sold and the increase in products sold through e-commerce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Revenues from others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revenues from others increased by 21.9% from RMB457.5 million in 2022 to RMB557.6 million (US$78.5 million) in 2023, primarily as a result of our increased delivery service fees derived from self-operated stores due to the increase of number of delivery orders and increased revenue from membership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partnership stores</w:t>
      </w:r>
    </w:p>
    <w:p>
      <w:pPr>
        <w:spacing w:after="0" w:line="21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revenues from partnership stores were RMB6,225.8 million (US$876.9 million) in 2023, including sales of materials of RMB4,157.6 million (US$585.6 million), sales of equipment and store construction-related materials of RMB877.2 million (US$123.5 million), profit sharing of RMB680.2 million (US$95.8 million) and other services, including delivery services and other design services, of RMB510.8 million (US$71.9 million). Our revenues from partnership stores in 2023 increased by 102.8% from RMB3,069.3 million in 2022. The growth of our revenues from partnership stores was primarily driven by the significant increase in the number of our partnership stores and items sold. As of December 31, 2023, we had 5,620 partnership stores compared to 2,562 stores in 2022, and our average monthly total items sold in partnership stores was approximately 57.4 million in 2023, compared with approximately 27.4 million in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expenses were RMB21,877.5 million (US$3,081.4 million) in 2023, compared to RMB12,136.8 million in 2022. The growth of our operating expenses was generally in line with our business expansion. Meanwhile, our operating expenses as a percentage of our net revenues decreased from 91.3% in 2022 to 87.9% in 2023, mainly driven by the increased economies of scale and our technology-driven operations, which was partially offset by the increase in cost of materials as a percentage of net revenues resulting from the decreased average selling price of the Company’s products.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materials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our costs of materials in absolute amounts and as percentages of total costs of materials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9"/>
        </w:trPr>
        <w:tc>
          <w:tcPr>
            <w:tcW w:w="260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gridSpan w:val="2"/>
          </w:tcPr>
          <w:p>
            <w:pPr>
              <w:ind w:left="7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r>
      <w:tr>
        <w:trPr>
          <w:trHeight w:val="139"/>
        </w:trPr>
        <w:tc>
          <w:tcPr>
            <w:tcW w:w="2600" w:type="dxa"/>
            <w:vAlign w:val="bottom"/>
          </w:tcPr>
          <w:p>
            <w:pPr>
              <w:spacing w:after="0"/>
              <w:rPr>
                <w:sz w:val="12"/>
                <w:szCs w:val="12"/>
                <w:color w:val="auto"/>
              </w:rPr>
            </w:pPr>
          </w:p>
        </w:tc>
        <w:tc>
          <w:tcPr>
            <w:tcW w:w="860" w:type="dxa"/>
            <w:vAlign w:val="bottom"/>
            <w:tcBorders>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19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9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gridSpan w:val="5"/>
          </w:tcPr>
          <w:p>
            <w:pPr>
              <w:ind w:left="680"/>
              <w:spacing w:after="0" w:line="126" w:lineRule="exact"/>
              <w:rPr>
                <w:sz w:val="20"/>
                <w:szCs w:val="20"/>
                <w:color w:val="auto"/>
              </w:rPr>
            </w:pPr>
            <w:r>
              <w:rPr>
                <w:rFonts w:ascii="Times New Roman" w:cs="Times New Roman" w:eastAsia="Times New Roman" w:hAnsi="Times New Roman"/>
                <w:sz w:val="14"/>
                <w:szCs w:val="14"/>
                <w:b w:val="1"/>
                <w:bCs w:val="1"/>
                <w:color w:val="auto"/>
                <w:w w:val="92"/>
              </w:rPr>
              <w:t>(in thousands, except for percentages)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1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raw materials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2,948,807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838,402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2"/>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Freshly brewed drinks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1,781,834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2,573,298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745,478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2"/>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 products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Low value consumables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Offline sales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Cost of partnership</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863,222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1,755,716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Storage fees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Logistic expenses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162,434</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272,715</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5"/>
        </w:trPr>
        <w:tc>
          <w:tcPr>
            <w:tcW w:w="26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3,198,552</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5,178,963</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10,892,214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1,534,136</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cost of materials was RMB10,892.2 million (US$1,534.1 million) in 2023, compared to RMB5,179.0 million in 2022. The increase in the cost of materials was in line with the increase in the number of products sold and the increase in sales of materials to partnership stores.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rental and other operating costs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our store rental and other operating costs in absolute amounts and as percentages of total store rental and other operating costs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9"/>
        </w:trPr>
        <w:tc>
          <w:tcPr>
            <w:tcW w:w="26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r>
      <w:tr>
        <w:trPr>
          <w:trHeight w:val="139"/>
        </w:trPr>
        <w:tc>
          <w:tcPr>
            <w:tcW w:w="2640" w:type="dxa"/>
            <w:vAlign w:val="bottom"/>
          </w:tcPr>
          <w:p>
            <w:pPr>
              <w:spacing w:after="0"/>
              <w:rPr>
                <w:sz w:val="12"/>
                <w:szCs w:val="12"/>
                <w:color w:val="auto"/>
              </w:rPr>
            </w:pPr>
          </w:p>
        </w:tc>
        <w:tc>
          <w:tcPr>
            <w:tcW w:w="860" w:type="dxa"/>
            <w:vAlign w:val="bottom"/>
            <w:tcBorders>
              <w:bottom w:val="single" w:sz="8" w:color="auto"/>
            </w:tcBorders>
          </w:tcPr>
          <w:p>
            <w:pPr>
              <w:jc w:val="right"/>
              <w:ind w:right="19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01"/>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7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58"/>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2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4"/>
          </w:tcPr>
          <w:p>
            <w:pPr>
              <w:ind w:left="6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 thousands, except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w w:val="86"/>
              </w:rPr>
              <w:t>for percentages)</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1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1,481,609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Payroll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1,586,488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3,036,365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other store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343,285</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649,508</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5"/>
        </w:trPr>
        <w:tc>
          <w:tcPr>
            <w:tcW w:w="26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2,036,772</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2,829,987</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5,167,482</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727,825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store rental and other operating costs were RMB5,167.5 million (US$727.8 million) in 2023, compared to RMB2,830.0 million in 2022. The increased store rental and other operating costs in 2023 were primarily attributable to the increased expenses in relation to labor costs, the increased number of stores we operated and increased number of items sold.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our depreciation expenses in absolute amounts and as percentages of total depreciation expenses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39"/>
        </w:trPr>
        <w:tc>
          <w:tcPr>
            <w:tcW w:w="292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4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598"/>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39"/>
        </w:trPr>
        <w:tc>
          <w:tcPr>
            <w:tcW w:w="2920" w:type="dxa"/>
            <w:vAlign w:val="bottom"/>
          </w:tcPr>
          <w:p>
            <w:pPr>
              <w:spacing w:after="0"/>
              <w:rPr>
                <w:sz w:val="12"/>
                <w:szCs w:val="12"/>
                <w:color w:val="auto"/>
              </w:rPr>
            </w:pPr>
          </w:p>
        </w:tc>
        <w:tc>
          <w:tcPr>
            <w:tcW w:w="740" w:type="dxa"/>
            <w:vAlign w:val="bottom"/>
            <w:tcBorders>
              <w:bottom w:val="single" w:sz="8" w:color="auto"/>
            </w:tcBorders>
          </w:tcPr>
          <w:p>
            <w:pPr>
              <w:jc w:val="right"/>
              <w:ind w:right="11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21"/>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9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218"/>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2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w:t>
            </w:r>
          </w:p>
        </w:tc>
        <w:tc>
          <w:tcPr>
            <w:tcW w:w="180" w:type="dxa"/>
            <w:vAlign w:val="bottom"/>
          </w:tcPr>
          <w:p>
            <w:pPr>
              <w:spacing w:after="0"/>
              <w:rPr>
                <w:sz w:val="10"/>
                <w:szCs w:val="10"/>
                <w:color w:val="auto"/>
              </w:rPr>
            </w:pPr>
          </w:p>
        </w:tc>
        <w:tc>
          <w:tcPr>
            <w:tcW w:w="8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81"/>
              </w:rPr>
              <w:t>thousands, except</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w w:val="92"/>
              </w:rPr>
              <w:t>for percentages)</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1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equipment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194"/>
        </w:trPr>
        <w:tc>
          <w:tcPr>
            <w:tcW w:w="2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Amortization of leasehold</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improvements and 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5"/>
        </w:trPr>
        <w:tc>
          <w:tcPr>
            <w:tcW w:w="2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Amortization of land use right</w:t>
            </w:r>
          </w:p>
        </w:tc>
        <w:tc>
          <w:tcPr>
            <w:tcW w:w="7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609</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0.1</w:t>
            </w:r>
          </w:p>
        </w:tc>
      </w:tr>
      <w:tr>
        <w:trPr>
          <w:trHeight w:val="205"/>
        </w:trPr>
        <w:tc>
          <w:tcPr>
            <w:tcW w:w="29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465,384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391,936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604,580</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85,153</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9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depreciation and amortization expenses increased from RMB391.9 million in 2022 to RMB604.6 million (US$85.2 million) in 2023, primarily due to the increase in amortization of leasehold improvements for the stores and the increase in depreciation expenses of additional equipment put into use in new stores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expenses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delivery expenses increased from RMB1,373.2 million in 2022 to RMB2,010.7 million (US$283.2 million) in 2023, primarily due to the increased number of delivery orders.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our sales and marketing expenses in absolute amounts and as percentages of total sales and marketing expenses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39"/>
        </w:trPr>
        <w:tc>
          <w:tcPr>
            <w:tcW w:w="268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bottom w:val="single" w:sz="8" w:color="auto"/>
            </w:tcBorders>
            <w:gridSpan w:val="3"/>
          </w:tcPr>
          <w:p>
            <w:pPr>
              <w:ind w:left="68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618"/>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39"/>
        </w:trPr>
        <w:tc>
          <w:tcPr>
            <w:tcW w:w="2680" w:type="dxa"/>
            <w:vAlign w:val="bottom"/>
          </w:tcPr>
          <w:p>
            <w:pPr>
              <w:spacing w:after="0"/>
              <w:rPr>
                <w:sz w:val="12"/>
                <w:szCs w:val="12"/>
                <w:color w:val="auto"/>
              </w:rPr>
            </w:pPr>
          </w:p>
        </w:tc>
        <w:tc>
          <w:tcPr>
            <w:tcW w:w="720" w:type="dxa"/>
            <w:vAlign w:val="bottom"/>
            <w:tcBorders>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1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218"/>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2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60" w:type="dxa"/>
            <w:vAlign w:val="bottom"/>
            <w:gridSpan w:val="7"/>
          </w:tcPr>
          <w:p>
            <w:pPr>
              <w:ind w:left="680"/>
              <w:spacing w:after="0" w:line="126" w:lineRule="exact"/>
              <w:rPr>
                <w:sz w:val="20"/>
                <w:szCs w:val="20"/>
                <w:color w:val="auto"/>
              </w:rPr>
            </w:pPr>
            <w:r>
              <w:rPr>
                <w:rFonts w:ascii="Times New Roman" w:cs="Times New Roman" w:eastAsia="Times New Roman" w:hAnsi="Times New Roman"/>
                <w:sz w:val="14"/>
                <w:szCs w:val="14"/>
                <w:b w:val="1"/>
                <w:bCs w:val="1"/>
                <w:color w:val="auto"/>
                <w:w w:val="95"/>
              </w:rPr>
              <w:t>(in thousands, except for percentages)</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Free product promotion expenses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(18,498)</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5"/>
        </w:trPr>
        <w:tc>
          <w:tcPr>
            <w:tcW w:w="268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336,855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570,122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1,286,523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181,203</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sales and marketing expenses were RMB1,286.5 million (US$181.2 million) in 2023, compared to RMB570.1 million in 2022. The increase in sales and marketing expenses mainly driven by (i) an increase in advertising expenses as we continued to make strategic investments in our branding through various channels, (ii) an increase in subcontract service fees to support our business in certain channels, and (iii) an increase in commission fees to third-party delivery platforms which is in line with the increase in the number of delivery orders.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our general and administrative expenses in absolute amounts and as percentages of total general and administrative expenses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9"/>
        </w:trPr>
        <w:tc>
          <w:tcPr>
            <w:tcW w:w="33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r>
      <w:tr>
        <w:trPr>
          <w:trHeight w:val="139"/>
        </w:trPr>
        <w:tc>
          <w:tcPr>
            <w:tcW w:w="3380" w:type="dxa"/>
            <w:vAlign w:val="bottom"/>
          </w:tcPr>
          <w:p>
            <w:pPr>
              <w:spacing w:after="0"/>
              <w:rPr>
                <w:sz w:val="12"/>
                <w:szCs w:val="12"/>
                <w:color w:val="auto"/>
              </w:rPr>
            </w:pPr>
          </w:p>
        </w:tc>
        <w:tc>
          <w:tcPr>
            <w:tcW w:w="86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17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17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6"/>
        </w:trPr>
        <w:tc>
          <w:tcPr>
            <w:tcW w:w="3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4"/>
          </w:tcPr>
          <w:p>
            <w:pPr>
              <w:ind w:left="44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 thousands, except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w w:val="86"/>
              </w:rPr>
              <w:t>for percentages)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446,869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522,362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205,726</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236,121</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352,032</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49,581</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5"/>
        </w:trPr>
        <w:tc>
          <w:tcPr>
            <w:tcW w:w="33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1,269,988</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1,459,550</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1,829,651</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257,701</w:t>
            </w:r>
          </w:p>
        </w:tc>
        <w:tc>
          <w:tcPr>
            <w:tcW w:w="140" w:type="dxa"/>
            <w:vAlign w:val="bottom"/>
          </w:tcPr>
          <w:p>
            <w:pPr>
              <w:spacing w:after="0"/>
              <w:rPr>
                <w:sz w:val="17"/>
                <w:szCs w:val="17"/>
                <w:color w:val="auto"/>
              </w:rPr>
            </w:pPr>
          </w:p>
        </w:tc>
        <w:tc>
          <w:tcPr>
            <w:tcW w:w="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were RMB1,829.7 million (US$257.7 million) in 2023, compared to RMB1,459.6 million in 2022. The increase in general and administrative expenses was mainly driven by increases in (i) payroll costs for headquarters staff, (ii) expenditures for office supplies, (iii) tax surcharges and stamp duties and (iv) research and development expenses, which was offset by the decrease of share-based compensation for restricted share units and options issued to management and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preopening and other expenses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store preopening and other expenses were RMB109.7 million (US$15.4 million) in 2023, compared to RMB36.0 million in 2022. Our store preopening and other expenses increased in 2023 from 2022 primarily due to the increased rental costs for new store openings as we opened more stores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of long-lived assets</w:t>
      </w:r>
    </w:p>
    <w:p>
      <w:pPr>
        <w:spacing w:after="0" w:line="1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impairment loss of long-lived assets was RMB5.2 million (US$0.7 million) in 2023, compared to RMB221.8 million in 2022. The impairment loss of long-lived assets in 2023 provided for a full impairment for assets in relation to Luckin Tea as we permanently closed Luckin Tea stores and ceased all Luckin Tea operations, while the impairment loss of long-lived assets in 2022 was provided for a full impairment for Luckin Coffee EXPRESS machines due to historical underperformance and updated strategy and business projections for Luckin Coffee EXPRESS machines determined by the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expenses related to Fabricated Transactions and Restructuring</w:t>
      </w:r>
    </w:p>
    <w:p>
      <w:pPr>
        <w:spacing w:after="0" w:line="19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incurred losses and expenses related to Fabricated Transactions and Restructuring in a total amount of negative RMB28.5 million (negative US$4.0 million) in 2023, compared to RMB75.2 million in 2022, as in 2023 we reversed RMB44.7 million (US$6.3 million) of accrued professional service fees following the settlement with certain underwriters relating to indemnification of their defense costs in connection with the Fabricated Transactions. See “Item 3. Key Information—3.D. Risk Factors—Risks Relating to the Fabricated Transactions, Internal Investigation, Internal Control, Offshore Restructuring and Related Matters—The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foregoing, our operating income was RMB3,025.6 million (US$426.1 million) in 2023, compared to operating income of RMB1,156.2 million in 2022.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interest and investment income was RMB108.7 million (US$15.3 million) in 2023, compared to RMB84.9 million in 2022. The increase of interest income was mainly due to the increase in our average monthly cash and cash equivalents, restricted cash, short-term investments and term deposits as we earned more profits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Expenses</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interest and financing expenses were RMB nil (US$ nil) in 2023 and RMB23.5 million in 2022. The interest and financing expenses in 2022 were primarily consisted of interest expenses for the New Notes. As we have fully redeemed the New Notes in 2022 following the restructuring, we have no interest-bearing debt, thus interest expenses were nil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Net</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recorded net foreign exchange gain of RMB3.0 million (US$0.4 million) in 2023, compared to net foreign exchange gain of RMB10.7 million in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8"/>
          <w:szCs w:val="18"/>
          <w:color w:val="auto"/>
        </w:rPr>
        <w:t>We recorded net other income of RMB62.3 million (US$8.8 million) in 2023, compared to net other income of RMB60.7 million in 2022. The net other income in 2022 and 2023 was primarily attributable to the government grants, partially offset by donations and loss from asset disposals.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Reversal for SEC Settlement</w:t>
      </w:r>
    </w:p>
    <w:p>
      <w:pPr>
        <w:spacing w:after="0" w:line="1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reversed the provision for SEC settlement of US$180 million (RMB1,146.5 million) in 2021 which was recorded in 2020. Based on all available information as of December 31, 2021, it was very probable that the SEC staff would be satisfied that the cash payment to the bond holders to be made in January 2022, estimated at the time to exceed US$180 million, would fully offset the SEC civil penalty pursuant to the terms of the SEC settlement. Accordingly, we reversed the provision for the SEC Settlement for the year ended December 31, 2021. On February 3, 2022, the SEC filed with the SDNY Court a notice acknowledging that our obligation to pay the civil money penalty had been satisfied.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U.S. Securities Litigation</w:t>
      </w:r>
    </w:p>
    <w:p>
      <w:pPr>
        <w:spacing w:after="0" w:line="1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recorded a provision for equity litigation of US$187.5 million (approximately RMB1,226.1 million) in 2020. We recorded an additional US$24.4 million (approximately RMB155.3 million), US$41.9 million (approximately RMB280.0 million) and US$12.6 million (approximately RMB92.2 million) in 2021, 2022 and 2023, respectively.</w:t>
      </w:r>
    </w:p>
    <w:p>
      <w:pPr>
        <w:spacing w:after="0" w:line="17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been named as a defendant in various U.S. securities litigations. See “Item 8. Financial Information—8.A. Consolidated Statements and Other Financial Information—Legal Proceedings” and “Note 20 Commitments and Contingencies—Legal proceedings— U.S. Class Actions” to the consolidated financial statements included in this annual report.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relevant U.S. GAAP principles. The Company’s estimate of probable losses from these litigations is based on either the amount of a settlement (if a settlement has been reached), the Company’s most recent offer made to a claimant (if no settlement has been reached but settlement negotiations have begun) or the implied recovery represented by the Federal Class Action Settlement (where no settlement negotiations have begun). The actual loss could be greater or smaller than our current estimate.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income tax expenses decreased from RMB638.5 million in 2022 to RMB259.4 million in 2023 mainly because in accordance with relevant accounting standards, we re-evaluated the realization of deferred tax assets given the largely reduced uncertainty of our business performance after a certain number of our operation entities have turned cumulative losses into cumulative profits in 2023.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foregoing, we recorded a net income of RMB2,847.9 million (US$401.1 million) in 2023, compared to a net income of RMB488.2 million in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the Years Ended December 31, 2022 and 2021</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“Item 5. Operating and Financial Review and Prospects—5.A. Operating Results—Results of Operations—Discussion of the Years Ended December 31, 2022 and 2021” of our annual report on Form 20-F for the fiscal year ended December 31, 2022 filed with the SEC on April 6,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evaluating the business, we consider and use adjusted operating (loss)/income and adjusted net (loss)/income, each a non-GAAP financial measure, in reviewing and assessing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operating performance and formulate business plans. We believe that the non-GAAP financial measures help identify underlying trends in our business, provide further information about our results of operations, and enhance the overall understanding of our past performance and future prospects.</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Our non-GAAP financial measures do not reflect all items of income and expense that affect our operations and do not represent the residual cash flow available for discretionary expenditures. Furthermore, these non-GAAP measures may differ from the non-GAAP information used by other companies, including peer companies, and therefore their comparability may be limited. We compensate for these limitations by reconciling the non-GAAP financial measures to the nearest U.S. GAAP performance measure, all of which should be considered when evaluating performance. We encourage investors and others to review our financial information in its entirety and not rely on a single financial measure.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non-GAAP operating (loss)/income as operating (loss)/income excluding share-based compensation expenses and impairment loss of long-lived assets. We define non-GAAP net (loss)/income as net (loss)/income excluding share-based compensation expenses, fair value changes of derivative asset bifurcated from Series B Senior Secured Notes, impairment loss of long-lived assets, provision/(reversal) for SEC settlement, provision for equity litigants settlement and gain from extinguishment of Series B Senior Secured Notes. We define non-GAAP net (loss)/income attributable to our company’s ordinary shareholders as net (loss)/income attributable to our company’s ordinary shareholders excluding share-based compensation expenses, fair value changes of derivative asset bifurcated from Series B Senior Secured Notes, impairment loss of long-lived assets, provision/(reversal) for SEC settlement, provision for equity litigants settlement and gain from extinguishment of Series B Senior Secured Notes. Starting from the third quarter of 2021, we recorded impairment loss of long-lived assets primarily in the ordinary course of business, rather than unexpected events such as store closures caused by the COVID-19 pandemic. Therefore, we no longer adjust for such impairment loss of long-lived assets in our non-GAAP measures since then. The table below sets forth a reconciliation of our operating (loss)/income to non-GAAP operating (loss)/income, our net (loss)/income to non- GAAP net (loss)/income, our net (loss)/income attributable to our company’s ordinary shareholders to non-GAAP net (loss)/income attributable to our company’s ordinary shareholders for the years indicated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6320" w:type="dxa"/>
            <w:vAlign w:val="bottom"/>
          </w:tcPr>
          <w:p>
            <w:pPr>
              <w:spacing w:after="0"/>
              <w:rPr>
                <w:sz w:val="12"/>
                <w:szCs w:val="12"/>
                <w:color w:val="auto"/>
              </w:rPr>
            </w:pPr>
          </w:p>
        </w:tc>
        <w:tc>
          <w:tcPr>
            <w:tcW w:w="760" w:type="dxa"/>
            <w:vAlign w:val="bottom"/>
          </w:tcPr>
          <w:p>
            <w:pPr>
              <w:jc w:val="right"/>
              <w:ind w:right="169"/>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920" w:type="dxa"/>
            <w:vAlign w:val="bottom"/>
            <w:gridSpan w:val="2"/>
          </w:tcPr>
          <w:p>
            <w:pPr>
              <w:jc w:val="right"/>
              <w:ind w:right="16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3"/>
          </w:tcPr>
          <w:p>
            <w:pPr>
              <w:jc w:val="right"/>
              <w:ind w:right="649"/>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39"/>
        </w:trPr>
        <w:tc>
          <w:tcPr>
            <w:tcW w:w="6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2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2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8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6"/>
        </w:trPr>
        <w:tc>
          <w:tcPr>
            <w:tcW w:w="6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right"/>
              <w:ind w:right="329"/>
              <w:spacing w:after="0" w:line="126" w:lineRule="exact"/>
              <w:rPr>
                <w:sz w:val="20"/>
                <w:szCs w:val="20"/>
                <w:color w:val="auto"/>
              </w:rPr>
            </w:pPr>
            <w:r>
              <w:rPr>
                <w:rFonts w:ascii="Times New Roman" w:cs="Times New Roman" w:eastAsia="Times New Roman" w:hAnsi="Times New Roman"/>
                <w:sz w:val="14"/>
                <w:szCs w:val="14"/>
                <w:b w:val="1"/>
                <w:bCs w:val="1"/>
                <w:color w:val="auto"/>
              </w:rPr>
              <w:t>(in thousand)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Operating (loss)/income</w:t>
            </w:r>
          </w:p>
        </w:tc>
        <w:tc>
          <w:tcPr>
            <w:tcW w:w="78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(539,054)</w:t>
            </w: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1,156,179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3,025,618</w:t>
            </w:r>
          </w:p>
        </w:tc>
        <w:tc>
          <w:tcPr>
            <w:tcW w:w="1000" w:type="dxa"/>
            <w:vAlign w:val="bottom"/>
            <w:gridSpan w:val="3"/>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426,149</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Adjusted for: Share-based compensation expenses</w:t>
            </w: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302,734</w:t>
            </w:r>
          </w:p>
        </w:tc>
        <w:tc>
          <w:tcPr>
            <w:tcW w:w="20" w:type="dxa"/>
            <w:vAlign w:val="bottom"/>
          </w:tcPr>
          <w:p>
            <w:pPr>
              <w:spacing w:after="0"/>
              <w:rPr>
                <w:sz w:val="12"/>
                <w:szCs w:val="12"/>
                <w:color w:val="auto"/>
              </w:rPr>
            </w:pPr>
          </w:p>
        </w:tc>
        <w:tc>
          <w:tcPr>
            <w:tcW w:w="9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398,008</w:t>
            </w:r>
          </w:p>
        </w:tc>
        <w:tc>
          <w:tcPr>
            <w:tcW w:w="20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239,506</w:t>
            </w:r>
          </w:p>
        </w:tc>
        <w:tc>
          <w:tcPr>
            <w:tcW w:w="10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33,734</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Non-GAAP operating (loss)/income</w:t>
            </w:r>
          </w:p>
        </w:tc>
        <w:tc>
          <w:tcPr>
            <w:tcW w:w="78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(236,320)</w:t>
            </w: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1,554,187</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3,265,124</w:t>
            </w:r>
          </w:p>
        </w:tc>
        <w:tc>
          <w:tcPr>
            <w:tcW w:w="1000" w:type="dxa"/>
            <w:vAlign w:val="bottom"/>
            <w:gridSpan w:val="3"/>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459,883</w:t>
            </w:r>
          </w:p>
        </w:tc>
      </w:tr>
      <w:tr>
        <w:trPr>
          <w:trHeight w:val="139"/>
        </w:trPr>
        <w:tc>
          <w:tcPr>
            <w:tcW w:w="632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578,653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488,246</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2,847,933</w:t>
            </w: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401,123</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Adjusted for: Share-based compensation expenses</w:t>
            </w:r>
          </w:p>
        </w:tc>
        <w:tc>
          <w:tcPr>
            <w:tcW w:w="7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302,734</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398,008</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239,506</w:t>
            </w:r>
          </w:p>
        </w:tc>
        <w:tc>
          <w:tcPr>
            <w:tcW w:w="1000" w:type="dxa"/>
            <w:vAlign w:val="bottom"/>
            <w:gridSpan w:val="3"/>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33,734</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Adjusted for: Fair value changes of derivative asset bifurcated from Series B Senior Secured Notes</w:t>
            </w:r>
          </w:p>
        </w:tc>
        <w:tc>
          <w:tcPr>
            <w:tcW w:w="78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6,381</w:t>
            </w:r>
          </w:p>
        </w:tc>
        <w:tc>
          <w:tcPr>
            <w:tcW w:w="20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Add: Reversal for SEC settlement</w:t>
            </w:r>
          </w:p>
        </w:tc>
        <w:tc>
          <w:tcPr>
            <w:tcW w:w="780" w:type="dxa"/>
            <w:vAlign w:val="bottom"/>
            <w:gridSpan w:val="2"/>
            <w:shd w:val="clear" w:color="auto" w:fill="CCEEFF"/>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(1,146,474)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Add: Provision for equity litigants settlement</w:t>
            </w: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155,314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92,192</w:t>
            </w:r>
          </w:p>
        </w:tc>
        <w:tc>
          <w:tcPr>
            <w:tcW w:w="10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12,985</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Add: Gain from extinguishment of Series B Senior Secured Notes</w:t>
            </w:r>
          </w:p>
        </w:tc>
        <w:tc>
          <w:tcPr>
            <w:tcW w:w="780" w:type="dxa"/>
            <w:vAlign w:val="bottom"/>
            <w:gridSpan w:val="2"/>
            <w:shd w:val="clear" w:color="auto" w:fill="CCEEFF"/>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(124,139)</w:t>
            </w: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Non-GAAP net (loss)/income</w:t>
            </w:r>
          </w:p>
        </w:tc>
        <w:tc>
          <w:tcPr>
            <w:tcW w:w="7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(109,773)</w:t>
            </w:r>
          </w:p>
        </w:tc>
        <w:tc>
          <w:tcPr>
            <w:tcW w:w="9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1,048,463</w:t>
            </w:r>
          </w:p>
        </w:tc>
        <w:tc>
          <w:tcPr>
            <w:tcW w:w="20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3,179,631</w:t>
            </w:r>
          </w:p>
        </w:tc>
        <w:tc>
          <w:tcPr>
            <w:tcW w:w="10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447,842</w:t>
            </w:r>
          </w:p>
        </w:tc>
      </w:tr>
      <w:tr>
        <w:trPr>
          <w:trHeight w:val="139"/>
        </w:trPr>
        <w:tc>
          <w:tcPr>
            <w:tcW w:w="632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Net income attributable to our company’s ordinary shareholders</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578,545</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488,246</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2,847,933</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401,123</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Add: Share-based compensation expenses</w:t>
            </w: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302,734</w:t>
            </w:r>
          </w:p>
        </w:tc>
        <w:tc>
          <w:tcPr>
            <w:tcW w:w="20" w:type="dxa"/>
            <w:vAlign w:val="bottom"/>
          </w:tcPr>
          <w:p>
            <w:pPr>
              <w:spacing w:after="0"/>
              <w:rPr>
                <w:sz w:val="12"/>
                <w:szCs w:val="12"/>
                <w:color w:val="auto"/>
              </w:rPr>
            </w:pPr>
          </w:p>
        </w:tc>
        <w:tc>
          <w:tcPr>
            <w:tcW w:w="9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398,008</w:t>
            </w:r>
          </w:p>
        </w:tc>
        <w:tc>
          <w:tcPr>
            <w:tcW w:w="20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239,506</w:t>
            </w:r>
          </w:p>
        </w:tc>
        <w:tc>
          <w:tcPr>
            <w:tcW w:w="100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color w:val="auto"/>
              </w:rPr>
              <w:t>33,734</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Add: Fair value changes of derivative asset bifurcated from Series B Senior Secured Notes</w:t>
            </w:r>
          </w:p>
        </w:tc>
        <w:tc>
          <w:tcPr>
            <w:tcW w:w="780" w:type="dxa"/>
            <w:vAlign w:val="bottom"/>
            <w:gridSpan w:val="2"/>
            <w:shd w:val="clear" w:color="auto" w:fill="CCEEFF"/>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6,381</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Add: Reversal for SEC settlement</w:t>
            </w:r>
          </w:p>
        </w:tc>
        <w:tc>
          <w:tcPr>
            <w:tcW w:w="78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(1,146,474)</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46"/>
        </w:trPr>
        <w:tc>
          <w:tcPr>
            <w:tcW w:w="63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Add: Provision for equity litigants settlement</w:t>
            </w:r>
          </w:p>
        </w:tc>
        <w:tc>
          <w:tcPr>
            <w:tcW w:w="7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155,314</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279,967</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92,192</w:t>
            </w:r>
          </w:p>
        </w:tc>
        <w:tc>
          <w:tcPr>
            <w:tcW w:w="1000" w:type="dxa"/>
            <w:vAlign w:val="bottom"/>
            <w:gridSpan w:val="3"/>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12,985</w:t>
            </w:r>
          </w:p>
        </w:tc>
      </w:tr>
      <w:tr>
        <w:trPr>
          <w:trHeight w:val="146"/>
        </w:trPr>
        <w:tc>
          <w:tcPr>
            <w:tcW w:w="63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Add: Gain from extinguishment of Series B Senior Secured Notes</w:t>
            </w:r>
          </w:p>
        </w:tc>
        <w:tc>
          <w:tcPr>
            <w:tcW w:w="78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(124,139)</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39"/>
        </w:trPr>
        <w:tc>
          <w:tcPr>
            <w:tcW w:w="632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Non-GAAP net (loss)/income attributable to our company’s ordinary shareholders</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(109,881)</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1,048,463</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3,179,631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447,842</w:t>
            </w:r>
          </w:p>
        </w:tc>
      </w:tr>
    </w:tbl>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5.B.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5980" w:type="dxa"/>
            <w:vAlign w:val="bottom"/>
          </w:tcPr>
          <w:p>
            <w:pPr>
              <w:spacing w:after="0"/>
              <w:rPr>
                <w:sz w:val="12"/>
                <w:szCs w:val="12"/>
                <w:color w:val="auto"/>
              </w:rPr>
            </w:pPr>
          </w:p>
        </w:tc>
        <w:tc>
          <w:tcPr>
            <w:tcW w:w="860" w:type="dxa"/>
            <w:vAlign w:val="bottom"/>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gridSpan w:val="2"/>
          </w:tcPr>
          <w:p>
            <w:pPr>
              <w:jc w:val="right"/>
              <w:ind w:right="243"/>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120" w:type="dxa"/>
            <w:vAlign w:val="bottom"/>
            <w:gridSpan w:val="3"/>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5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23"/>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6"/>
        </w:trPr>
        <w:tc>
          <w:tcPr>
            <w:tcW w:w="5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3"/>
          </w:tcPr>
          <w:p>
            <w:pPr>
              <w:jc w:val="right"/>
              <w:ind w:right="556"/>
              <w:spacing w:after="0" w:line="126" w:lineRule="exact"/>
              <w:rPr>
                <w:sz w:val="20"/>
                <w:szCs w:val="20"/>
                <w:color w:val="auto"/>
              </w:rPr>
            </w:pPr>
            <w:r>
              <w:rPr>
                <w:rFonts w:ascii="Times New Roman" w:cs="Times New Roman" w:eastAsia="Times New Roman" w:hAnsi="Times New Roman"/>
                <w:sz w:val="14"/>
                <w:szCs w:val="14"/>
                <w:b w:val="1"/>
                <w:bCs w:val="1"/>
                <w:color w:val="auto"/>
              </w:rPr>
              <w:t>(in thousand)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Cash Flow Data:</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2,900,425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408,516</w:t>
            </w:r>
          </w:p>
        </w:tc>
        <w:tc>
          <w:tcPr>
            <w:tcW w:w="20" w:type="dxa"/>
            <w:vAlign w:val="bottom"/>
          </w:tcPr>
          <w:p>
            <w:pPr>
              <w:spacing w:after="0"/>
              <w:rPr>
                <w:sz w:val="18"/>
                <w:szCs w:val="18"/>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(798,046)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(3,447,099)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(485,514)</w:t>
            </w:r>
          </w:p>
        </w:tc>
        <w:tc>
          <w:tcPr>
            <w:tcW w:w="20" w:type="dxa"/>
            <w:vAlign w:val="bottom"/>
          </w:tcPr>
          <w:p>
            <w:pPr>
              <w:spacing w:after="0"/>
              <w:rPr>
                <w:sz w:val="18"/>
                <w:szCs w:val="18"/>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1,514,660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(2,276,260)</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174"/>
        </w:trPr>
        <w:tc>
          <w:tcPr>
            <w:tcW w:w="59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Effect of foreign exchange rate changes on cash and cash equivalents and</w:t>
            </w: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20"/>
                <w:szCs w:val="20"/>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1,616,229</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(2,977,355)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(539,276)</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(75,956)</w:t>
            </w:r>
          </w:p>
        </w:tc>
        <w:tc>
          <w:tcPr>
            <w:tcW w:w="20" w:type="dxa"/>
            <w:vAlign w:val="bottom"/>
          </w:tcPr>
          <w:p>
            <w:pPr>
              <w:spacing w:after="0"/>
              <w:rPr>
                <w:sz w:val="18"/>
                <w:szCs w:val="18"/>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4,939,045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6,555,274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3,577,919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503,939</w:t>
            </w:r>
          </w:p>
        </w:tc>
        <w:tc>
          <w:tcPr>
            <w:tcW w:w="20" w:type="dxa"/>
            <w:vAlign w:val="bottom"/>
          </w:tcPr>
          <w:p>
            <w:pPr>
              <w:spacing w:after="0"/>
              <w:rPr>
                <w:sz w:val="18"/>
                <w:szCs w:val="18"/>
                <w:color w:val="auto"/>
              </w:rPr>
            </w:pPr>
          </w:p>
        </w:tc>
      </w:tr>
      <w:tr>
        <w:trPr>
          <w:trHeight w:val="205"/>
        </w:trPr>
        <w:tc>
          <w:tcPr>
            <w:tcW w:w="59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year</w:t>
            </w: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6,555,274</w:t>
            </w:r>
          </w:p>
        </w:tc>
        <w:tc>
          <w:tcPr>
            <w:tcW w:w="1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3,577,919</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3,038,643</w:t>
            </w:r>
          </w:p>
        </w:tc>
        <w:tc>
          <w:tcPr>
            <w:tcW w:w="1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427,983</w:t>
            </w:r>
          </w:p>
        </w:tc>
        <w:tc>
          <w:tcPr>
            <w:tcW w:w="2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principal source of liquidity has been cash provided by our operating activities and historical equity financing activities, including the proceeds from our IPO in May 2019, and our follow-on public offering and convertible note offering in January 2020, and the Investment Agreement with an affiliate of Centurium Capital and Joy Capital. See “Item 4. Information on the Company—4.A. History and Development of the Company.” As of December 31, 2021, 2022, and 2023, we had RMB6,555.3 million, RMB3,578.0 million, and RMB3,038.6 million (US$428.0 million) in cash and cash equivalents and restricted cash, respectively. Our cash and cash equivalents consist primarily of bank deposits and are primarily denominated in Renminbi. Our operating expenses continued to increase historically and are expected to continue to increase in line with our business expansion. Meanwhile, leveraging our new retail model, we experienced robust growth in net revenues in 2021, 2022, and 2023. As a result of increased economies of scale and technology-driven operations, our operating expenses as a percentage of our net revenues decreased from 106.8% in 2021 to 91.3% in 2022, and further to 87.9% in 2023. Our operating loss in 2021, which represented 6.8% of our net revenues, turned into an operating profit in 2022 and 2023, representing 8.7% and 12.1% of our net revenues, respectively. Nevertheless, as we continue to focus on business growth and expansion, our operating expenses in absolute amounts are expected to continue to increase in the near future. Moreover, the competitive landscape and customer demand and preference may also affect our financial performance. As a result, there is substantial uncertainty with respect to our results of operations and our profitability.</w:t>
      </w:r>
    </w:p>
    <w:p>
      <w:pPr>
        <w:spacing w:after="0" w:line="1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term deposits and anticipated cash flow from operations will be sufficient to meet our anticipated cash needs for our current business plan, including our cash needs for working capital and capital expenditures, for at least the next 12 months.</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utilizing the proceeds we received from our IPO in May 2019, and our follow-on public offering and convertible note offering in January 2020, we have made and may make capital contributions to our PRC subsidiaries, acquire or establish new PRC subsidiaries or give loans to our PRC subsidiaries for further expansion of our store network. However, most of these uses are subject to PRC regulations. See “Item 3. Key Information—3.D. Risk Factors—Risks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We used and intend to use the proceeds from the Transactions to facilitate the Restructuring and fulfill our obligations under the settlement with the SEC.</w:t>
      </w:r>
    </w:p>
    <w:p>
      <w:pPr>
        <w:spacing w:after="0" w:line="19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of December 31, 2023, we have no interest-bearing debt following our full redemption of offshore debt securities in 2022. On July 15, 2020, the Notes became immediately due and payable following the appointment of JPLs, which constituted an event of default. On March 16, 2021, we announced that we had entered into an RSA with holders of a majority of the Notes to restructure the debt under the Notes by way of a scheme of arrangement in the Cayman Islands. On December 14, 2021, we announced that the Cayman Court sanctioned the Scheme. The Scheme became fully effective in accordance with its terms on December 17, 2021 following the entry of a final order of the U.S. Bankruptcy Court recognizing and enforcing the Scheme in the territorial jurisdiction of the United States. On January 28, 2022, the Restructuring of the Notes as contemplated by the Scheme became effective, and was substantially consummated. In aggregate, in exchange for the Notes, we have issued consideration to creditors under the Scheme totaling US$245.5 million of cash, the New Notes and 9,527,601 ADSs representing 76,220,808 Class A Ordinary Shares, which includes 291,699 ADSs issued on April 4, 2022 pursuant to the top-up mechanism under the Scheme, of which 25,004 ADSs were not claimed by creditors and therefore 200,032 Class A Ordinary Shares underlying such unclaimed ADSs were returned to the Company. On August 26, 2022, we fully redeemed the New Notes, our only offshore debt securities. The aggregate redemption price of the New Notes was US$115.6 million, which constitutes the aggregate principal amount outstanding plus the aggregate accrued interest. The aggregate redemption price was paid from our available offshore cash balance. For details about the Notes and the RSA, see “Note 12 Convertible Senior Notes” in the consolidated financial statements included in this annual report.”</w:t>
      </w:r>
    </w:p>
    <w:p>
      <w:pPr>
        <w:spacing w:after="0" w:line="19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Substantially all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Net cash provided by operating activities was RMB2,900.4 million (US$408.5 million) in 2023, compared to net cash provided by operating activities RMB19.8 million in 2022. Our net cash provided by operating activities in 2023 reflected a net income of RMB2,847.9 million (US$401.1 million), adjusted by (i) the add back of non-cash items mainly consisting of amortization of operating lease right-of-use assets of RMB1,399.2 million (US$197.1 million), depreciation and amortization of RMB604.6 million (US$85.2 million), share-based compensation expenses of RMB239.5 million (US$33.7 million), impairment of long-lived assets of RMB5.2 million (US$0.7 million), which was (ii) partially offset by the accrual of deferred tax assets of RMB141.6 million (US$19.9 million), the reversal of allowance for receivables of RMB3.2 million (US$0.5 million), foreign exchange gain of RMB3.0 million (US$0.4 million) and changes in operating assets and liabilities of RMB2,061.0 million (US$290.3 million). The change in operating assets and liabilities mainly arises from the increase in payment of equity litigants settlement of RMB84.3 million (US$11.9 million) resulting from the payment to certain litigants of RMB7.8 million and a provision for equity litigants of RMB92.2 million, the decrease of operating lease liabilities of RMB1,442.0 million (US$203.1 million), the increase of inventories of RMB988.3 million (US$139.2 million), and the increase of accounts receivable, prepaid expenses and other current assets and other non-current assets of RMB727.3 million (US$102.4 million), partially offset by the increase of accounts payable of RMB373.2 million (US$52.6 million) and the increase of accrued expenses and other liabilities of RMB 675.3 million (US$95.1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RMB3,447.1 million (US$485.5 million) in 2023, compared to net cash used in investing activities of RMB798.0 million in 2022. The net cash used in investing activities was primarily attributable to the purchase of property and equipment of RMB2,750.2 million (US$387.4 million), the payment for land use rights of RMB6.5 million (US$0.9 million), and net purchase of short-term investments and term-deposits of RMB692.4 million (US$97.5 million), partially offset by proceeds from disposal of property and equipment of RMB2.0 million (US$0.3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provided by/(used in) financing activities was nil in 2023, compared to net cash used in financing activities of RMB2,276.3 million in 2022. The net cash used in financing activities in 2022 was primarily attributable to restructuring of the Notes of RMB1,560.1 million and repayment of New Notes of RMB779.5 million, offset by proceeds from issuance of convertible senior preferred shares of RMB63.4 million. There were no such activities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capital expenditures are incurred primarily in connection with the purchase of property and equipment. Our capital expenditures for the purchase of property and equipment were RMB2,750.2 million (US$387.4 million) in 2023, compared to RMB781.7 million in 2022. We intend to fund our future capital expenditures with our existing cash balance, cash from operating activities and, if needed, potential bank loans that may occur in the future. Our capital commitments primarily relate to investing activities contracted but not yet reflected in the financial statements. The following table sets forth our contractual obligations and commercial commitments as of December 31,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720" w:type="dxa"/>
            <w:vAlign w:val="bottom"/>
          </w:tcPr>
          <w:p>
            <w:pPr>
              <w:spacing w:after="0"/>
              <w:rPr>
                <w:sz w:val="9"/>
                <w:szCs w:val="9"/>
                <w:color w:val="auto"/>
              </w:rPr>
            </w:pPr>
          </w:p>
        </w:tc>
        <w:tc>
          <w:tcPr>
            <w:tcW w:w="7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vMerge w:val="restart"/>
          </w:tcPr>
          <w:p>
            <w:pPr>
              <w:spacing w:after="0"/>
              <w:rPr>
                <w:sz w:val="9"/>
                <w:szCs w:val="9"/>
                <w:color w:val="auto"/>
              </w:rPr>
            </w:pPr>
          </w:p>
        </w:tc>
        <w:tc>
          <w:tcPr>
            <w:tcW w:w="90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80" w:type="dxa"/>
            <w:vAlign w:val="bottom"/>
            <w:vMerge w:val="restart"/>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80" w:type="dxa"/>
            <w:vAlign w:val="bottom"/>
            <w:vMerge w:val="restart"/>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6"/>
        </w:trPr>
        <w:tc>
          <w:tcPr>
            <w:tcW w:w="5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gridSpan w:val="5"/>
          </w:tcPr>
          <w:p>
            <w:pPr>
              <w:jc w:val="right"/>
              <w:ind w:right="456"/>
              <w:spacing w:after="0" w:line="126" w:lineRule="exact"/>
              <w:rPr>
                <w:sz w:val="20"/>
                <w:szCs w:val="20"/>
                <w:color w:val="auto"/>
              </w:rPr>
            </w:pPr>
            <w:r>
              <w:rPr>
                <w:rFonts w:ascii="Times New Roman" w:cs="Times New Roman" w:eastAsia="Times New Roman" w:hAnsi="Times New Roman"/>
                <w:sz w:val="14"/>
                <w:szCs w:val="14"/>
                <w:b w:val="1"/>
                <w:bCs w:val="1"/>
                <w:color w:val="auto"/>
              </w:rPr>
              <w:t>(in thousands of RMB)</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Factory and office building construction commitments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purchasing commitment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549,715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549,715</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72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616,877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609,656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7,221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lease stores and offices for operation under operating lease. Payments under operating leases are expensed on a straight-line basis over the periods of their respective leases. As of December 31, 2023, our operating lease commitments were RMB5,315.7 million (US$748.7 million), of which 34.8% were due by within one year.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have no outstanding debt obligation.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or Luckin Coffee Inc., is a holding company with no material operations of its own. We conduct our operations primarily through our PRC subsidiaries. As a result, the Company’s ability to pay dividends depends upon dividends paid by our subsidiaries. If our subsidiaries or any newly formed subsidiaries incur debt on their own behalf in the future, the instruments governing their debt may restrict their ability to pay dividends to the Company. In addition, to the extent cash in the business is in the PRC or a PRC entity, the funds may not be available to fund operations or for other use outside of the PRC due to interventions in or the imposition of restrictions and limitations by the PRC government to the transfer of cash.</w:t>
      </w:r>
    </w:p>
    <w:p>
      <w:pPr>
        <w:spacing w:after="0" w:line="15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subsidiaries in China are permitted to pay dividends to us only out of their retained earnings, if any, as determined in accordance with the Accounting Standards for Business Enterprise as promulgated by the Ministry of Finance of the PRC, or PRC GAAP. Before January 1, 2020, pursuant to the law applicable to China’s foreign investment enterprise, our subsidiaries that are foreign investment enterprises in the PRC have to make appropriation from their after-tax profit, as determined under PRC GAAP, to reserve funds including</w:t>
      </w:r>
    </w:p>
    <w:p>
      <w:pPr>
        <w:spacing w:after="0" w:line="1" w:lineRule="exact"/>
        <w:rPr>
          <w:sz w:val="20"/>
          <w:szCs w:val="20"/>
          <w:color w:val="auto"/>
        </w:rPr>
      </w:pPr>
    </w:p>
    <w:p>
      <w:pPr>
        <w:jc w:val="both"/>
        <w:ind w:firstLine="7"/>
        <w:spacing w:after="0" w:line="261" w:lineRule="auto"/>
        <w:tabs>
          <w:tab w:leader="none" w:pos="22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general reserve fund, (ii) the enterprise expansion fund and (iii) the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 On January 1, 2020, the Foreign Investment Law and the Implementation Regulations came into effect, which repealed the </w:t>
      </w:r>
      <w:r>
        <w:rPr>
          <w:rFonts w:ascii="Times New Roman" w:cs="Times New Roman" w:eastAsia="Times New Roman" w:hAnsi="Times New Roman"/>
          <w:sz w:val="17"/>
          <w:szCs w:val="17"/>
          <w:i w:val="1"/>
          <w:iCs w:val="1"/>
          <w:color w:val="auto"/>
        </w:rPr>
        <w:t>PRC Wholly Foreign-Owned Enterprise Law</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Implementation Regulations on the Wholly Foreign-Owned Enterprise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Law </w:t>
      </w:r>
      <w:r>
        <w:rPr>
          <w:rFonts w:ascii="Times New Roman" w:cs="Times New Roman" w:eastAsia="Times New Roman" w:hAnsi="Times New Roman"/>
          <w:sz w:val="17"/>
          <w:szCs w:val="17"/>
          <w:color w:val="auto"/>
        </w:rPr>
        <w:t>and became the legal foundation for foreign investment in the PRC. Pursuant to the Foreign Investment Law, the corporate governance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matters, including the dividend distribution, shall be governed by the Company Law, the Partnership Law or other laws of the PRC. In accordance with the Company Law of the PRC, our subsidiaries in China must make appropriations from their after-tax profit to non-distributable reserve funds including (i) the statutory surplus fund and (ii) the discretionary surplus fund. The appropriation to the statutory surplus fund must be at least 10% of the after-tax profits calculated in accordance with PRC GAAP. Appropriation is not required if the statutory surplus fund has reached 50% of the registered capital of our subsidiaries. Appropriation to the discretionary surplus fund is made at the discretion of our subsidiaries. However, according to the Foreign Investment Law and the Implementation Regulations, the foreign investment enterprises established before January 1, 2020 may elect to maintain their current corporate governance rules, including the dividend distribution policy, adopted under the </w:t>
      </w:r>
      <w:r>
        <w:rPr>
          <w:rFonts w:ascii="Times New Roman" w:cs="Times New Roman" w:eastAsia="Times New Roman" w:hAnsi="Times New Roman"/>
          <w:sz w:val="17"/>
          <w:szCs w:val="17"/>
          <w:i w:val="1"/>
          <w:iCs w:val="1"/>
          <w:color w:val="auto"/>
        </w:rPr>
        <w:t>PRC Wholly Foreign-Owned Enterprise Law</w:t>
      </w:r>
      <w:r>
        <w:rPr>
          <w:rFonts w:ascii="Times New Roman" w:cs="Times New Roman" w:eastAsia="Times New Roman" w:hAnsi="Times New Roman"/>
          <w:sz w:val="17"/>
          <w:szCs w:val="17"/>
          <w:color w:val="auto"/>
        </w:rPr>
        <w:t>, within five years after January 1, 2020.</w:t>
      </w:r>
    </w:p>
    <w:p>
      <w:pPr>
        <w:spacing w:after="0" w:line="14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fundraising activities to our PRC subsidiaries only through loans or capital contributions, in each case subject to the satisfaction of the applicable government registration and approval requirements. See “Item 3. Key Information—3.D. Risk Factors—Risks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As a result, there is uncertainty with respect to our ability to provide prompt financial support to our PRC subsidiaries when needed. Before the termination of our VIE structure (see “Item 4. Information on the Company—4.C. Organizational Structure—Former contractual arrangements with the Former VIE and Its Nominee Shareholders”), our PRC subsidiaries may use their own retained earnings (rather than Renminbi converted from foreign currency denominated capital) to provide financial support to our Former VIE either through entrustment loans from our PRC subsidiaries to our Former VIE or direct loans to such Former VIE’s nominee shareholders, which would be contributed to the consolidated variable entity as capital injections. Such direct loans to the nominee shareholders would be eliminated in our consolidated financial statements against the Former VIE’s share capital.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Funds and Other Assets</w:t>
      </w:r>
    </w:p>
    <w:p>
      <w:pPr>
        <w:spacing w:after="0" w:line="1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Luckin Coffee Inc. has not previously declared or paid any cash dividend or dividend in kind, and has no plan to declare or pay any dividends in the near future on its Shares or the ADSs. We currently intend to retain most, if not all, of our available funds and any future earnings to operate and expand our business. None of our PRC subsidiaries has issued any dividends or distributions to their respective parent companies, including Luckin Coffee Inc., or to any investors as of the date of this annual report. Our subsidiaries in the PRC currently retain cash generated from their operating activities and re-invest it in our business operations. In the future, our ability to pay dividends, if any, to our shareholders and ADS holders and to service any debt we may incur will depend upon dividends and other distributions paid by our PRC subsidiaries.</w:t>
      </w:r>
    </w:p>
    <w:p>
      <w:pPr>
        <w:spacing w:after="0" w:line="14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date of this annual report, we do not have cash management policies in place that dictate how funds are transferred between Luckin Coffee Inc., our PRC subsidiaries and the investors. Rather, the funds can be transferred in accordance with the applicable PRC laws and regulations. In accordance with the applicable PRC laws and regulations, the funds can be transferred between Luckin Coffee Inc., our PRC subsidiaries and the investors. Cash is transferred among (a) the holding company, namely Luckin Coffee Inc., (b) our BVI subsidiaries, namely Luckin Coffee Investment Inc. and Luckin Coffee International Holdings Inc., (c) our Hong Kong subsidiaries, namely Luckin Coffee (Hong Kong) Limited (“Luckin HK”), Luckin Coffee Roasting (Hong Kong) Limited, Luckin Coffee Roastery (Hong Kong) Limited and Luckin Coffee Trading (Hong Kong) Limited, and (d) the PRC subsidiaries, which are wholly owned by the Hong Kong subsidiaries, in the following manner: (i) funds are transferred to the PRC subsidiaries, from the Company as needed through our BVI subsidiaries and Hong Kong subsidiaries in the form of capital contributions or shareholder loans, as the case may be; and (ii) dividends or other distributions may be paid by the PRC subsidiaries to Luckin Coffee Inc. through our Hong Kong subsidiaries and our BVI subsidiaries.</w:t>
      </w:r>
    </w:p>
    <w:p>
      <w:pPr>
        <w:spacing w:after="0" w:line="16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2023, Luckin Coffee Inc. made cumulative capital contributions of US$1,803.8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shareholder loans, as the case may be. Luckin Group then will transfer funds to its subsidiaries to meet the capital needs of our business operations. In addition, as of December 31, 2023, Luckin Coffee Inc. also made cumulative cash transfers of US$1.98 million, through its intermediate holding company, to Luckin Coffee Trading (Hong Kong) Limited and Luckin Coffee (SGP) Pte.Ltd.</w:t>
      </w:r>
    </w:p>
    <w:p>
      <w:pPr>
        <w:spacing w:after="0" w:line="14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Former VIE had not been involved in the business operations or fund planning of the Group. However, Luckin Coffee Inc. and its subsidiaries may transfer cash to the Former VIE by loans or capital support, subject to satisfaction of applicable government registration and approval requirements, to satisfy the Former VIE’s miscellaneous cash demands, such as social insurance fees for employees whose social insurance accounts were registered under the Former VIE. In 2021, 2022, and 2023, our PRC subsidiaries transferred RMB18.8 million, RMB115.5 million, and RMB11.1 million (US$1.6 million) respectively, to the Former VIE by loans or by capital support. In addition, the Former VIE may transfer cash as repayment of loans or, on an ad hoc basis, as working capital support to our PRC subsidiaries. In 2021, 2022, and 2023, the Former VIE transferred to our PRC subsidiaries RMB58.8 million, RMB104.1 million, and RMB0.6 million (US$83.3 thousand), respectively. These funds were used for repayment of loans or to support operations of our PRC subsidiaries. The Former VIE also transferred 1,273 trademarks and two copyrights of works to Luckin Group during the course of 2021 and 2022. There were no other assets transferred between our PRC subsidiaries and the Former VIE in 2021, 2022, and 2023. Upon termination of the contractual arrangements regarding the Former VIE, we recorded full impairment for the loan receivables under the VIE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300" w:type="dxa"/>
            <w:vAlign w:val="bottom"/>
            <w:gridSpan w:val="2"/>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6"/>
              </w:rPr>
              <w:t>Taxation</w:t>
            </w: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00" w:type="dxa"/>
            <w:vAlign w:val="bottom"/>
            <w:gridSpan w:val="2"/>
          </w:tcPr>
          <w:p>
            <w:pPr>
              <w:jc w:val="center"/>
              <w:ind w:right="92"/>
              <w:spacing w:after="0" w:line="148" w:lineRule="exact"/>
              <w:rPr>
                <w:sz w:val="20"/>
                <w:szCs w:val="20"/>
                <w:color w:val="auto"/>
              </w:rPr>
            </w:pPr>
            <w:r>
              <w:rPr>
                <w:rFonts w:ascii="Times New Roman" w:cs="Times New Roman" w:eastAsia="Times New Roman" w:hAnsi="Times New Roman"/>
                <w:sz w:val="12"/>
                <w:szCs w:val="12"/>
                <w:b w:val="1"/>
                <w:bCs w:val="1"/>
                <w:color w:val="auto"/>
              </w:rPr>
              <w:t>Scenario</w:t>
            </w:r>
            <w:r>
              <w:rPr>
                <w:rFonts w:ascii="Times New Roman" w:cs="Times New Roman" w:eastAsia="Times New Roman" w:hAnsi="Times New Roman"/>
                <w:sz w:val="17"/>
                <w:szCs w:val="17"/>
                <w:b w:val="1"/>
                <w:bCs w:val="1"/>
                <w:color w:val="auto"/>
                <w:vertAlign w:val="superscript"/>
              </w:rPr>
              <w:t>(1)</w:t>
            </w:r>
          </w:p>
        </w:tc>
      </w:tr>
      <w:tr>
        <w:trPr>
          <w:trHeight w:val="146"/>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00" w:type="dxa"/>
            <w:vAlign w:val="bottom"/>
            <w:gridSpan w:val="2"/>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Statutory Tax</w:t>
            </w:r>
          </w:p>
        </w:tc>
      </w:tr>
      <w:tr>
        <w:trPr>
          <w:trHeight w:val="146"/>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00" w:type="dxa"/>
            <w:vAlign w:val="bottom"/>
            <w:gridSpan w:val="2"/>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and Standard</w:t>
            </w:r>
          </w:p>
        </w:tc>
      </w:tr>
      <w:tr>
        <w:trPr>
          <w:trHeight w:val="170"/>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00" w:type="dxa"/>
            <w:vAlign w:val="bottom"/>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Rates</w:t>
            </w:r>
          </w:p>
        </w:tc>
      </w:tr>
      <w:tr>
        <w:trPr>
          <w:trHeight w:val="205"/>
        </w:trPr>
        <w:tc>
          <w:tcPr>
            <w:tcW w:w="1000" w:type="dxa"/>
            <w:vAlign w:val="bottom"/>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Hypothetical pre-tax earnings</w:t>
            </w:r>
            <w:r>
              <w:rPr>
                <w:rFonts w:ascii="Times New Roman" w:cs="Times New Roman" w:eastAsia="Times New Roman" w:hAnsi="Times New Roman"/>
                <w:sz w:val="23"/>
                <w:szCs w:val="23"/>
                <w:color w:val="auto"/>
                <w:vertAlign w:val="superscript"/>
              </w:rPr>
              <w:t>(2)</w:t>
            </w: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r>
      <w:tr>
        <w:trPr>
          <w:trHeight w:val="212"/>
        </w:trPr>
        <w:tc>
          <w:tcPr>
            <w:tcW w:w="10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2"/>
        </w:trPr>
        <w:tc>
          <w:tcPr>
            <w:tcW w:w="10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2"/>
        </w:trPr>
        <w:tc>
          <w:tcPr>
            <w:tcW w:w="1000" w:type="dxa"/>
            <w:vAlign w:val="bottom"/>
          </w:tcPr>
          <w:p>
            <w:pPr>
              <w:spacing w:after="0"/>
              <w:rPr>
                <w:sz w:val="18"/>
                <w:szCs w:val="18"/>
                <w:color w:val="auto"/>
              </w:rPr>
            </w:pPr>
          </w:p>
        </w:tc>
        <w:tc>
          <w:tcPr>
            <w:tcW w:w="662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Withholding tax at standard rate of 10%</w:t>
            </w:r>
            <w:r>
              <w:rPr>
                <w:rFonts w:ascii="Times New Roman" w:cs="Times New Roman" w:eastAsia="Times New Roman" w:hAnsi="Times New Roman"/>
                <w:sz w:val="24"/>
                <w:szCs w:val="24"/>
                <w:color w:val="auto"/>
                <w:vertAlign w:val="superscript"/>
              </w:rPr>
              <w:t>(3)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10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99"/>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77" w:lineRule="exact"/>
        <w:rPr>
          <w:sz w:val="20"/>
          <w:szCs w:val="20"/>
          <w:color w:val="auto"/>
        </w:rPr>
      </w:pPr>
    </w:p>
    <w:p>
      <w:pPr>
        <w:ind w:left="320" w:hanging="313"/>
        <w:spacing w:after="0" w:line="274"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36"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contractual arrangements between us and the Former VIE, Beijing WFOE may charge the Former VIE for services provided to the Former VIE. These service fees shall be recognized as expenses of the Former VIE, with a corresponding amount as service income by Beijing WFOE and eliminated in consolidation. For income tax purposes, Beijing WFOE and the Former VIE file income tax returns on a separate company basis. The service fees paid are recognized as a tax deduction by the Former VIE and as income by Beijing WFOE and are tax neutral.</w:t>
      </w:r>
    </w:p>
    <w:p>
      <w:pPr>
        <w:spacing w:after="0" w:line="145" w:lineRule="exact"/>
        <w:rPr>
          <w:rFonts w:ascii="Times New Roman" w:cs="Times New Roman" w:eastAsia="Times New Roman" w:hAnsi="Times New Roman"/>
          <w:sz w:val="18"/>
          <w:szCs w:val="18"/>
          <w:color w:val="auto"/>
        </w:rPr>
      </w:pPr>
    </w:p>
    <w:p>
      <w:pPr>
        <w:jc w:val="both"/>
        <w:ind w:left="320" w:hanging="313"/>
        <w:spacing w:after="0" w:line="249"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Schedule</w:t>
      </w:r>
    </w:p>
    <w:p>
      <w:pPr>
        <w:spacing w:after="0" w:line="18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summary statements of operations for the Company’s Former VIE and other entities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120" w:type="dxa"/>
            <w:vAlign w:val="bottom"/>
          </w:tcPr>
          <w:p>
            <w:pPr>
              <w:spacing w:after="0"/>
              <w:rPr>
                <w:sz w:val="9"/>
                <w:szCs w:val="9"/>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900" w:type="dxa"/>
            <w:vAlign w:val="bottom"/>
            <w:gridSpan w:val="2"/>
          </w:tcPr>
          <w:p>
            <w:pPr>
              <w:jc w:val="center"/>
              <w:ind w:right="69"/>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108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VIE</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subsidiaries</w:t>
            </w:r>
          </w:p>
        </w:tc>
        <w:tc>
          <w:tcPr>
            <w:tcW w:w="9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9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i w:val="1"/>
                <w:iCs w:val="1"/>
                <w:color w:val="auto"/>
              </w:rPr>
              <w:t>(RMB</w:t>
            </w:r>
          </w:p>
        </w:tc>
        <w:tc>
          <w:tcPr>
            <w:tcW w:w="140" w:type="dxa"/>
            <w:vAlign w:val="bottom"/>
            <w:vMerge w:val="continue"/>
          </w:tcPr>
          <w:p>
            <w:pPr>
              <w:spacing w:after="0"/>
              <w:rPr>
                <w:sz w:val="10"/>
                <w:szCs w:val="10"/>
                <w:color w:val="auto"/>
              </w:rPr>
            </w:pPr>
          </w:p>
        </w:tc>
        <w:tc>
          <w:tcPr>
            <w:tcW w:w="940" w:type="dxa"/>
            <w:vAlign w:val="bottom"/>
          </w:tcPr>
          <w:p>
            <w:pPr>
              <w:jc w:val="right"/>
              <w:ind w:right="234"/>
              <w:spacing w:after="0" w:line="126" w:lineRule="exact"/>
              <w:rPr>
                <w:sz w:val="20"/>
                <w:szCs w:val="20"/>
                <w:color w:val="auto"/>
              </w:rPr>
            </w:pPr>
            <w:r>
              <w:rPr>
                <w:rFonts w:ascii="Times New Roman" w:cs="Times New Roman" w:eastAsia="Times New Roman" w:hAnsi="Times New Roman"/>
                <w:sz w:val="14"/>
                <w:szCs w:val="14"/>
                <w:i w:val="1"/>
                <w:iCs w:val="1"/>
                <w:color w:val="auto"/>
                <w:w w:val="97"/>
              </w:rPr>
              <w:t>thousands)</w:t>
            </w:r>
          </w:p>
        </w:tc>
        <w:tc>
          <w:tcPr>
            <w:tcW w:w="1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393,564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7,711,077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(139,318)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7,965,323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(99,687)</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(3,098,865)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(3,198,552)</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(230,204)</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(1,944,877)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(2,036,772)</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(9,902)</w:t>
            </w: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(455,467)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(465,384)</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(819,549)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(819,549)</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(10,595)</w:t>
            </w: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(3,881)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(322,568)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(336,855)</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(198,554)</w:t>
            </w:r>
          </w:p>
        </w:tc>
        <w:tc>
          <w:tcPr>
            <w:tcW w:w="9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(23,951)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(962,736)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(1,269,988)</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0" w:type="dxa"/>
            <w:vAlign w:val="bottom"/>
          </w:tcPr>
          <w:p>
            <w:pPr>
              <w:spacing w:after="0"/>
              <w:rPr>
                <w:sz w:val="1"/>
                <w:szCs w:val="1"/>
                <w:color w:val="auto"/>
              </w:rPr>
            </w:pPr>
          </w:p>
        </w:tc>
      </w:tr>
      <w:tr>
        <w:trPr>
          <w:trHeight w:val="194"/>
        </w:trPr>
        <w:tc>
          <w:tcPr>
            <w:tcW w:w="4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Losses and expenses related to fabricated transactions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restructuring</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(246,410)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(11,791)</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(81,356)</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(339,557)</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(331,977)</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(561,236)</w:t>
            </w:r>
          </w:p>
        </w:tc>
        <w:tc>
          <w:tcPr>
            <w:tcW w:w="9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(27,932)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(7,722,550)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139,318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(8,504,377)</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Interest and investment income</w:t>
            </w: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33,798</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7"/>
                <w:szCs w:val="17"/>
                <w:color w:val="auto"/>
              </w:rPr>
            </w:pPr>
          </w:p>
        </w:tc>
        <w:tc>
          <w:tcPr>
            <w:tcW w:w="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68,147</w:t>
            </w:r>
          </w:p>
        </w:tc>
        <w:tc>
          <w:tcPr>
            <w:tcW w:w="140" w:type="dxa"/>
            <w:vAlign w:val="bottom"/>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102,248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(loss)/gains, net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(4,784)</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(losses)/income from subsidiaries and VIE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(40,522)</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(22,750)</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(154,711)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(Provision)/reversal for SEC 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1,146,474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1,146,474</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equity litigants settlement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(155,314)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(155,314)</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578,545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(157,010)</w:t>
            </w:r>
          </w:p>
        </w:tc>
        <w:tc>
          <w:tcPr>
            <w:tcW w:w="9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b w:val="1"/>
                <w:bCs w:val="1"/>
                <w:color w:val="auto"/>
              </w:rPr>
              <w:t>(27,781)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(97,082)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514,792</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56,531</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w:t>
            </w:r>
          </w:p>
        </w:tc>
        <w:tc>
          <w:tcPr>
            <w:tcW w:w="0" w:type="dxa"/>
            <w:vAlign w:val="bottom"/>
          </w:tcPr>
          <w:p>
            <w:pPr>
              <w:spacing w:after="0"/>
              <w:rPr>
                <w:sz w:val="1"/>
                <w:szCs w:val="1"/>
                <w:color w:val="auto"/>
              </w:rPr>
            </w:pPr>
          </w:p>
        </w:tc>
      </w:tr>
      <w:tr>
        <w:trPr>
          <w:trHeight w:val="205"/>
        </w:trPr>
        <w:tc>
          <w:tcPr>
            <w:tcW w:w="41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8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578,545</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(154,711)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(22,750)</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(40,551)</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218,120</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578,653</w:t>
            </w:r>
          </w:p>
        </w:tc>
        <w:tc>
          <w:tcPr>
            <w:tcW w:w="0" w:type="dxa"/>
            <w:vAlign w:val="bottom"/>
          </w:tcPr>
          <w:p>
            <w:pPr>
              <w:spacing w:after="0"/>
              <w:rPr>
                <w:sz w:val="1"/>
                <w:szCs w:val="1"/>
                <w:color w:val="auto"/>
              </w:rPr>
            </w:pPr>
          </w:p>
        </w:tc>
      </w:tr>
      <w:tr>
        <w:trPr>
          <w:trHeight w:val="842"/>
        </w:trPr>
        <w:tc>
          <w:tcPr>
            <w:tcW w:w="4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4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2022</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00" w:type="dxa"/>
            <w:vAlign w:val="bottom"/>
          </w:tcPr>
          <w:p>
            <w:pPr>
              <w:spacing w:after="0"/>
              <w:rPr>
                <w:sz w:val="9"/>
                <w:szCs w:val="9"/>
                <w:color w:val="auto"/>
              </w:rPr>
            </w:pP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116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40" w:type="dxa"/>
            <w:vAlign w:val="bottom"/>
            <w:vMerge w:val="restart"/>
          </w:tcPr>
          <w:p>
            <w:pPr>
              <w:spacing w:after="0"/>
              <w:rPr>
                <w:sz w:val="9"/>
                <w:szCs w:val="9"/>
                <w:color w:val="auto"/>
              </w:rPr>
            </w:pPr>
          </w:p>
        </w:tc>
        <w:tc>
          <w:tcPr>
            <w:tcW w:w="10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VIE</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500"/>
              <w:spacing w:after="0" w:line="126" w:lineRule="exact"/>
              <w:rPr>
                <w:sz w:val="20"/>
                <w:szCs w:val="20"/>
                <w:color w:val="auto"/>
              </w:rPr>
            </w:pPr>
            <w:r>
              <w:rPr>
                <w:rFonts w:ascii="Times New Roman" w:cs="Times New Roman" w:eastAsia="Times New Roman" w:hAnsi="Times New Roman"/>
                <w:sz w:val="14"/>
                <w:szCs w:val="14"/>
                <w:i w:val="1"/>
                <w:iCs w:val="1"/>
                <w:color w:val="auto"/>
              </w:rPr>
              <w:t>(RMB</w:t>
            </w:r>
          </w:p>
        </w:tc>
        <w:tc>
          <w:tcPr>
            <w:tcW w:w="1020" w:type="dxa"/>
            <w:vAlign w:val="bottom"/>
          </w:tcPr>
          <w:p>
            <w:pPr>
              <w:jc w:val="right"/>
              <w:ind w:right="194"/>
              <w:spacing w:after="0" w:line="126" w:lineRule="exact"/>
              <w:rPr>
                <w:sz w:val="20"/>
                <w:szCs w:val="20"/>
                <w:color w:val="auto"/>
              </w:rPr>
            </w:pPr>
            <w:r>
              <w:rPr>
                <w:rFonts w:ascii="Times New Roman" w:cs="Times New Roman" w:eastAsia="Times New Roman" w:hAnsi="Times New Roman"/>
                <w:sz w:val="14"/>
                <w:szCs w:val="14"/>
                <w:i w:val="1"/>
                <w:iCs w:val="1"/>
                <w:color w:val="auto"/>
                <w:w w:val="94"/>
              </w:rPr>
              <w:t>in thousands)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563,500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13,088,711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(359,229)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13,292,982</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(90,834)</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(5,088,129)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(5,178,963)</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(241,292)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(2,938,655)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(2,829,987)</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(2,412)</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(389,509)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(391,936)</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(1,373,219)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(1,373,219)</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(37,986)</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(1,996)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(530,140)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(570,122)</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(39,773)</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(180,090)</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(17,156)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(1,231,800)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(1,459,550)</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(35,140)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(36,012)</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(221,810)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(221,810)</w:t>
            </w:r>
          </w:p>
        </w:tc>
        <w:tc>
          <w:tcPr>
            <w:tcW w:w="0" w:type="dxa"/>
            <w:vAlign w:val="bottom"/>
          </w:tcPr>
          <w:p>
            <w:pPr>
              <w:spacing w:after="0"/>
              <w:rPr>
                <w:sz w:val="1"/>
                <w:szCs w:val="1"/>
                <w:color w:val="auto"/>
              </w:rPr>
            </w:pPr>
          </w:p>
        </w:tc>
      </w:tr>
      <w:tr>
        <w:trPr>
          <w:trHeight w:val="194"/>
        </w:trPr>
        <w:tc>
          <w:tcPr>
            <w:tcW w:w="4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Losses and expenses related to fabricated transactions</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restructuring</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(69,233)</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(109,006)</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(553,737)</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(19,167)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(11,814,122)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359,229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(12,136,803)</w:t>
            </w:r>
          </w:p>
        </w:tc>
        <w:tc>
          <w:tcPr>
            <w:tcW w:w="0" w:type="dxa"/>
            <w:vAlign w:val="bottom"/>
          </w:tcPr>
          <w:p>
            <w:pPr>
              <w:spacing w:after="0"/>
              <w:rPr>
                <w:sz w:val="1"/>
                <w:szCs w:val="1"/>
                <w:color w:val="auto"/>
              </w:rPr>
            </w:pPr>
          </w:p>
        </w:tc>
      </w:tr>
      <w:tr>
        <w:trPr>
          <w:trHeight w:val="205"/>
        </w:trPr>
        <w:tc>
          <w:tcPr>
            <w:tcW w:w="4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Interest and investment incomes</w:t>
            </w: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23,800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60,547</w:t>
            </w:r>
          </w:p>
        </w:tc>
        <w:tc>
          <w:tcPr>
            <w:tcW w:w="140" w:type="dxa"/>
            <w:vAlign w:val="bottom"/>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84,923</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(23,484)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(loss)/gain, net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0" w:type="dxa"/>
            <w:vAlign w:val="bottom"/>
          </w:tcPr>
          <w:p>
            <w:pPr>
              <w:spacing w:after="0"/>
              <w:rPr>
                <w:sz w:val="1"/>
                <w:szCs w:val="1"/>
                <w:color w:val="auto"/>
              </w:rPr>
            </w:pPr>
          </w:p>
        </w:tc>
      </w:tr>
      <w:tr>
        <w:trPr>
          <w:trHeight w:val="194"/>
        </w:trPr>
        <w:tc>
          <w:tcPr>
            <w:tcW w:w="4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Fair value changes of derivative asset bifurcated from</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B Senior Secured Notes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(losses)/income from subsidiaries and VIE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791,186</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(60,243)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(707,401)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equity litigants settlement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(279,967)</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(279,967)</w:t>
            </w:r>
          </w:p>
        </w:tc>
        <w:tc>
          <w:tcPr>
            <w:tcW w:w="0" w:type="dxa"/>
            <w:vAlign w:val="bottom"/>
          </w:tcPr>
          <w:p>
            <w:pPr>
              <w:spacing w:after="0"/>
              <w:rPr>
                <w:sz w:val="1"/>
                <w:szCs w:val="1"/>
                <w:color w:val="auto"/>
              </w:rPr>
            </w:pPr>
          </w:p>
        </w:tc>
      </w:tr>
      <w:tr>
        <w:trPr>
          <w:trHeight w:val="194"/>
        </w:trPr>
        <w:tc>
          <w:tcPr>
            <w:tcW w:w="4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Gain from extinguishment of Series B Senior Secured</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488,246</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9,793</w:t>
            </w:r>
          </w:p>
        </w:tc>
        <w:tc>
          <w:tcPr>
            <w:tcW w:w="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1,345,267</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(698,583)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1,126,750</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(70,036)</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(562,899)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(638,504)</w:t>
            </w:r>
          </w:p>
        </w:tc>
        <w:tc>
          <w:tcPr>
            <w:tcW w:w="0" w:type="dxa"/>
            <w:vAlign w:val="bottom"/>
          </w:tcPr>
          <w:p>
            <w:pPr>
              <w:spacing w:after="0"/>
              <w:rPr>
                <w:sz w:val="1"/>
                <w:szCs w:val="1"/>
                <w:color w:val="auto"/>
              </w:rPr>
            </w:pPr>
          </w:p>
        </w:tc>
      </w:tr>
      <w:tr>
        <w:trPr>
          <w:trHeight w:val="205"/>
        </w:trPr>
        <w:tc>
          <w:tcPr>
            <w:tcW w:w="40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488,246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(60,243)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(23,542)</w:t>
            </w: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782,368</w:t>
            </w:r>
          </w:p>
        </w:tc>
        <w:tc>
          <w:tcPr>
            <w:tcW w:w="1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(698,583)</w:t>
            </w:r>
          </w:p>
        </w:tc>
        <w:tc>
          <w:tcPr>
            <w:tcW w:w="1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488,246</w:t>
            </w:r>
          </w:p>
        </w:tc>
        <w:tc>
          <w:tcPr>
            <w:tcW w:w="0" w:type="dxa"/>
            <w:vAlign w:val="bottom"/>
          </w:tcPr>
          <w:p>
            <w:pPr>
              <w:spacing w:after="0"/>
              <w:rPr>
                <w:sz w:val="1"/>
                <w:szCs w:val="1"/>
                <w:color w:val="auto"/>
              </w:rPr>
            </w:pPr>
          </w:p>
        </w:tc>
      </w:tr>
      <w:tr>
        <w:trPr>
          <w:trHeight w:val="84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554"/>
              <w:spacing w:after="0"/>
              <w:rPr>
                <w:sz w:val="20"/>
                <w:szCs w:val="20"/>
                <w:color w:val="auto"/>
              </w:rPr>
            </w:pPr>
            <w:r>
              <w:rPr>
                <w:rFonts w:ascii="Times New Roman" w:cs="Times New Roman" w:eastAsia="Times New Roman" w:hAnsi="Times New Roman"/>
                <w:sz w:val="18"/>
                <w:szCs w:val="18"/>
                <w:color w:val="auto"/>
                <w:w w:val="96"/>
              </w:rPr>
              <w:t>126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4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140" w:type="dxa"/>
            <w:vAlign w:val="bottom"/>
            <w:vMerge w:val="restart"/>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116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vMerge w:val="restart"/>
          </w:tcPr>
          <w:p>
            <w:pPr>
              <w:spacing w:after="0"/>
              <w:rPr>
                <w:sz w:val="9"/>
                <w:szCs w:val="9"/>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VIE</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i w:val="1"/>
                <w:iCs w:val="1"/>
                <w:color w:val="auto"/>
              </w:rPr>
              <w:t>(RMB</w:t>
            </w:r>
          </w:p>
        </w:tc>
        <w:tc>
          <w:tcPr>
            <w:tcW w:w="1020" w:type="dxa"/>
            <w:vAlign w:val="bottom"/>
          </w:tcPr>
          <w:p>
            <w:pPr>
              <w:jc w:val="right"/>
              <w:ind w:right="194"/>
              <w:spacing w:after="0" w:line="126" w:lineRule="exact"/>
              <w:rPr>
                <w:sz w:val="20"/>
                <w:szCs w:val="20"/>
                <w:color w:val="auto"/>
              </w:rPr>
            </w:pPr>
            <w:r>
              <w:rPr>
                <w:rFonts w:ascii="Times New Roman" w:cs="Times New Roman" w:eastAsia="Times New Roman" w:hAnsi="Times New Roman"/>
                <w:sz w:val="14"/>
                <w:szCs w:val="14"/>
                <w:i w:val="1"/>
                <w:iCs w:val="1"/>
                <w:color w:val="auto"/>
                <w:w w:val="94"/>
              </w:rPr>
              <w:t>in thousands)</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1,008,660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24,677,136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(782,630)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24,903,166</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(99,900)</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(10,792,314)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(10,892,214)</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(227,876)</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(5,405,851)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466,249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(5,167,482)</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(2,418)</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(602,149)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(604,580)</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(2,010,699)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(2,010,699)</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(45,697)</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(1,239,748)</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(1,286,523)</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(46,722)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(214,116)</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(1,876,445)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316,378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(1,829,651)</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(109,872)</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(109,685)</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194"/>
        </w:trPr>
        <w:tc>
          <w:tcPr>
            <w:tcW w:w="3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(14,866)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(589,820)</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(9,275)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(22,046,214)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782,627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(21,877,548)</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Interest and investment income</w:t>
            </w: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7"/>
                <w:szCs w:val="17"/>
                <w:color w:val="auto"/>
              </w:rPr>
            </w:pP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21,800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84,406</w:t>
            </w:r>
          </w:p>
        </w:tc>
        <w:tc>
          <w:tcPr>
            <w:tcW w:w="140" w:type="dxa"/>
            <w:vAlign w:val="bottom"/>
          </w:tcPr>
          <w:p>
            <w:pPr>
              <w:spacing w:after="0"/>
              <w:rPr>
                <w:sz w:val="17"/>
                <w:szCs w:val="17"/>
                <w:color w:val="auto"/>
              </w:rPr>
            </w:pPr>
          </w:p>
        </w:tc>
        <w:tc>
          <w:tcPr>
            <w:tcW w:w="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108,682</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(loss)/gain,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0" w:type="dxa"/>
            <w:vAlign w:val="bottom"/>
          </w:tcPr>
          <w:p>
            <w:pPr>
              <w:spacing w:after="0"/>
              <w:rPr>
                <w:sz w:val="1"/>
                <w:szCs w:val="1"/>
                <w:color w:val="auto"/>
              </w:rPr>
            </w:pPr>
          </w:p>
        </w:tc>
      </w:tr>
      <w:tr>
        <w:trPr>
          <w:trHeight w:val="194"/>
        </w:trPr>
        <w:tc>
          <w:tcPr>
            <w:tcW w:w="3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 of (losses)/income from subsidiaries and</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2,949,195</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(9,233)</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622,753</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(3,562,715)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equity litigants settlement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(92,192)</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(92,192)</w:t>
            </w: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2,847,933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445,462</w:t>
            </w:r>
          </w:p>
        </w:tc>
        <w:tc>
          <w:tcPr>
            <w:tcW w:w="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(9,233)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3,386,312</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(3,563,115)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3,107,359</w:t>
            </w:r>
          </w:p>
        </w:tc>
        <w:tc>
          <w:tcPr>
            <w:tcW w:w="0" w:type="dxa"/>
            <w:vAlign w:val="bottom"/>
          </w:tcPr>
          <w:p>
            <w:pPr>
              <w:spacing w:after="0"/>
              <w:rPr>
                <w:sz w:val="1"/>
                <w:szCs w:val="1"/>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(436,718)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(259,426)</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2,847,933</w:t>
            </w:r>
          </w:p>
        </w:tc>
        <w:tc>
          <w:tcPr>
            <w:tcW w:w="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622,754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(9,233)</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2,949,594</w:t>
            </w:r>
          </w:p>
        </w:tc>
        <w:tc>
          <w:tcPr>
            <w:tcW w:w="1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(3,563,115)</w:t>
            </w:r>
          </w:p>
        </w:tc>
        <w:tc>
          <w:tcPr>
            <w:tcW w:w="1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2,847,933</w:t>
            </w:r>
          </w:p>
        </w:tc>
        <w:tc>
          <w:tcPr>
            <w:tcW w:w="0" w:type="dxa"/>
            <w:vAlign w:val="bottom"/>
          </w:tcPr>
          <w:p>
            <w:pPr>
              <w:spacing w:after="0"/>
              <w:rPr>
                <w:sz w:val="1"/>
                <w:szCs w:val="1"/>
                <w:color w:val="auto"/>
              </w:rPr>
            </w:pPr>
          </w:p>
        </w:tc>
      </w:tr>
      <w:tr>
        <w:trPr>
          <w:trHeight w:val="99"/>
        </w:trPr>
        <w:tc>
          <w:tcPr>
            <w:tcW w:w="24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77" w:lineRule="exact"/>
        <w:rPr>
          <w:sz w:val="20"/>
          <w:szCs w:val="20"/>
          <w:color w:val="auto"/>
        </w:rPr>
      </w:pPr>
    </w:p>
    <w:p>
      <w:pPr>
        <w:ind w:left="320" w:right="20" w:hanging="313"/>
        <w:spacing w:after="0" w:line="274"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eliminations are mainly related to the internal transactions of raw materials and service fees charged between our subsidiaries and the WFOE, and subsidiaries’ net income/(loss) picked up by corresponding parent companies through profit and loss.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summary balance sheet data for the Former VIE and other entities as of the dates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8"/>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600" w:type="dxa"/>
            <w:vAlign w:val="bottom"/>
          </w:tcPr>
          <w:p>
            <w:pPr>
              <w:spacing w:after="0"/>
              <w:rPr>
                <w:sz w:val="9"/>
                <w:szCs w:val="9"/>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900" w:type="dxa"/>
            <w:vAlign w:val="bottom"/>
            <w:gridSpan w:val="2"/>
          </w:tcPr>
          <w:p>
            <w:pPr>
              <w:jc w:val="right"/>
              <w:ind w:right="89"/>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1100" w:type="dxa"/>
            <w:vAlign w:val="bottom"/>
            <w:gridSpan w:val="2"/>
          </w:tcPr>
          <w:p>
            <w:pPr>
              <w:jc w:val="right"/>
              <w:ind w:right="44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VIE</w:t>
            </w:r>
          </w:p>
        </w:tc>
        <w:tc>
          <w:tcPr>
            <w:tcW w:w="110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18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9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i w:val="1"/>
                <w:iCs w:val="1"/>
                <w:color w:val="auto"/>
              </w:rPr>
              <w:t>(RMB</w:t>
            </w:r>
          </w:p>
        </w:tc>
        <w:tc>
          <w:tcPr>
            <w:tcW w:w="160" w:type="dxa"/>
            <w:vAlign w:val="bottom"/>
            <w:vMerge w:val="continue"/>
          </w:tcPr>
          <w:p>
            <w:pPr>
              <w:spacing w:after="0"/>
              <w:rPr>
                <w:sz w:val="10"/>
                <w:szCs w:val="10"/>
                <w:color w:val="auto"/>
              </w:rPr>
            </w:pPr>
          </w:p>
        </w:tc>
        <w:tc>
          <w:tcPr>
            <w:tcW w:w="940" w:type="dxa"/>
            <w:vAlign w:val="bottom"/>
          </w:tcPr>
          <w:p>
            <w:pPr>
              <w:jc w:val="right"/>
              <w:ind w:right="214"/>
              <w:spacing w:after="0" w:line="126"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683,735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2,635,577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3,534,304</w:t>
            </w: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151,922</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151,922</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1,206,467</w:t>
            </w: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41,888</w:t>
            </w:r>
          </w:p>
        </w:tc>
        <w:tc>
          <w:tcPr>
            <w:tcW w:w="160" w:type="dxa"/>
            <w:vAlign w:val="bottom"/>
          </w:tcPr>
          <w:p>
            <w:pPr>
              <w:spacing w:after="0"/>
              <w:rPr>
                <w:sz w:val="18"/>
                <w:szCs w:val="18"/>
                <w:color w:val="auto"/>
              </w:rPr>
            </w:pP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1,028,921</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1,077,719</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from subsidiaries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12,534,774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1,917,565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(14,464,424)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12,756,676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732,322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7,005,631</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(14,464,424)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6,037,054</w:t>
            </w:r>
          </w:p>
        </w:tc>
        <w:tc>
          <w:tcPr>
            <w:tcW w:w="0" w:type="dxa"/>
            <w:vAlign w:val="bottom"/>
          </w:tcPr>
          <w:p>
            <w:pPr>
              <w:spacing w:after="0"/>
              <w:rPr>
                <w:sz w:val="1"/>
                <w:szCs w:val="1"/>
                <w:color w:val="auto"/>
              </w:rPr>
            </w:pPr>
          </w:p>
        </w:tc>
      </w:tr>
      <w:tr>
        <w:trPr>
          <w:trHeight w:val="205"/>
        </w:trPr>
        <w:tc>
          <w:tcPr>
            <w:tcW w:w="3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(5,736,325)</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40,421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3,046,672</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7,092,559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4,443,343</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7,020,351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772,743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10,052,303</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(7,371,865)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10,480,397</w:t>
            </w:r>
          </w:p>
        </w:tc>
        <w:tc>
          <w:tcPr>
            <w:tcW w:w="0" w:type="dxa"/>
            <w:vAlign w:val="bottom"/>
          </w:tcPr>
          <w:p>
            <w:pPr>
              <w:spacing w:after="0"/>
              <w:rPr>
                <w:sz w:val="1"/>
                <w:szCs w:val="1"/>
                <w:color w:val="auto"/>
              </w:rPr>
            </w:pPr>
          </w:p>
        </w:tc>
      </w:tr>
      <w:tr>
        <w:trPr>
          <w:trHeight w:val="205"/>
        </w:trPr>
        <w:tc>
          <w:tcPr>
            <w:tcW w:w="3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441,376</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441,376</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1,375,425</w:t>
            </w: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97,123</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1,804,716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12,411,685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(14,464,424)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859,196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880,873</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393,064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1,871,397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15,025,935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(14,464,424)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2,828,836</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1,007,953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1,024,274</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393,064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1,887,718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16,033,888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(14,464,424)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3,853,110</w:t>
            </w:r>
          </w:p>
        </w:tc>
        <w:tc>
          <w:tcPr>
            <w:tcW w:w="0" w:type="dxa"/>
            <w:vAlign w:val="bottom"/>
          </w:tcPr>
          <w:p>
            <w:pPr>
              <w:spacing w:after="0"/>
              <w:rPr>
                <w:sz w:val="1"/>
                <w:szCs w:val="1"/>
                <w:color w:val="auto"/>
              </w:rPr>
            </w:pPr>
          </w:p>
        </w:tc>
      </w:tr>
      <w:tr>
        <w:trPr>
          <w:trHeight w:val="205"/>
        </w:trPr>
        <w:tc>
          <w:tcPr>
            <w:tcW w:w="3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Mezzanine equity:</w:t>
            </w: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Preferred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1,578,040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1,578,040</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5,049,247</w:t>
            </w:r>
          </w:p>
        </w:tc>
        <w:tc>
          <w:tcPr>
            <w:tcW w:w="1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(1,114,975)</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4,001</w:t>
            </w: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(5,981,585)</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7,092,559</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5,049,247</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7,020,351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772,743</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6,865</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10,052,303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(7,371,865)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10,480,397</w:t>
            </w:r>
          </w:p>
        </w:tc>
        <w:tc>
          <w:tcPr>
            <w:tcW w:w="0" w:type="dxa"/>
            <w:vAlign w:val="bottom"/>
          </w:tcPr>
          <w:p>
            <w:pPr>
              <w:spacing w:after="0"/>
              <w:rPr>
                <w:sz w:val="1"/>
                <w:szCs w:val="1"/>
                <w:color w:val="auto"/>
              </w:rPr>
            </w:pPr>
          </w:p>
        </w:tc>
      </w:tr>
      <w:tr>
        <w:trPr>
          <w:trHeight w:val="842"/>
        </w:trPr>
        <w:tc>
          <w:tcPr>
            <w:tcW w:w="36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740" w:type="dxa"/>
            <w:vAlign w:val="bottom"/>
          </w:tcPr>
          <w:p>
            <w:pPr>
              <w:spacing w:after="0"/>
              <w:rPr>
                <w:sz w:val="9"/>
                <w:szCs w:val="9"/>
                <w:color w:val="auto"/>
              </w:rPr>
            </w:pP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1100" w:type="dxa"/>
            <w:vAlign w:val="bottom"/>
            <w:gridSpan w:val="2"/>
          </w:tcPr>
          <w:p>
            <w:pPr>
              <w:ind w:left="30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vMerge w:val="restart"/>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VIE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3"/>
          </w:tcPr>
          <w:p>
            <w:pPr>
              <w:jc w:val="right"/>
              <w:ind w:right="133"/>
              <w:spacing w:after="0" w:line="126"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2,642,177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2,925,709</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65,879</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213,912</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80,665</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2,204,000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2,204,000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1,544,918</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due from subsidiaries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13,043,055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1,056,096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(14,104,351)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deposits-current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464,019</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13,076,585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292,715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8,334,605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(14,104,351)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7,599,554</w:t>
            </w:r>
          </w:p>
        </w:tc>
        <w:tc>
          <w:tcPr>
            <w:tcW w:w="0" w:type="dxa"/>
            <w:vAlign w:val="bottom"/>
          </w:tcPr>
          <w:p>
            <w:pPr>
              <w:spacing w:after="0"/>
              <w:rPr>
                <w:sz w:val="1"/>
                <w:szCs w:val="1"/>
                <w:color w:val="auto"/>
              </w:rPr>
            </w:pPr>
          </w:p>
        </w:tc>
      </w:tr>
      <w:tr>
        <w:trPr>
          <w:trHeight w:val="205"/>
        </w:trPr>
        <w:tc>
          <w:tcPr>
            <w:tcW w:w="37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(2,926,400)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225,664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8,994,853</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4,398,305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10,692,424</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10,150,185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518,379</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17,329,458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(9,706,046)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0" w:type="dxa"/>
            <w:vAlign w:val="bottom"/>
          </w:tcPr>
          <w:p>
            <w:pPr>
              <w:spacing w:after="0"/>
              <w:rPr>
                <w:sz w:val="1"/>
                <w:szCs w:val="1"/>
                <w:color w:val="auto"/>
              </w:rPr>
            </w:pPr>
          </w:p>
        </w:tc>
      </w:tr>
      <w:tr>
        <w:trPr>
          <w:trHeight w:val="205"/>
        </w:trPr>
        <w:tc>
          <w:tcPr>
            <w:tcW w:w="37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814,655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814,655</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2,491,705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2,556,977</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123,178</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864,058</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12,927,010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(14,104,351)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1,851,310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938,386</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18,188,567</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(14,104,351)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5,462,678</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3,085,459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3,114,855</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435,740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967,782</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21,274,026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(14,104,351)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8,577,533</w:t>
            </w:r>
          </w:p>
        </w:tc>
        <w:tc>
          <w:tcPr>
            <w:tcW w:w="0" w:type="dxa"/>
            <w:vAlign w:val="bottom"/>
          </w:tcPr>
          <w:p>
            <w:pPr>
              <w:spacing w:after="0"/>
              <w:rPr>
                <w:sz w:val="1"/>
                <w:szCs w:val="1"/>
                <w:color w:val="auto"/>
              </w:rPr>
            </w:pPr>
          </w:p>
        </w:tc>
      </w:tr>
      <w:tr>
        <w:trPr>
          <w:trHeight w:val="205"/>
        </w:trPr>
        <w:tc>
          <w:tcPr>
            <w:tcW w:w="37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Mezzanine equity:</w:t>
            </w: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Preferred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1,578,040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1,578,040</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8,136,405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(449,403)</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(4,334)</w:t>
            </w: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(3,944,568)</w:t>
            </w:r>
          </w:p>
        </w:tc>
        <w:tc>
          <w:tcPr>
            <w:tcW w:w="1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4,398,305</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8,136,405</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10,150,185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518,379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17,329,458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(9,706,046)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summary cash flow data for the Former VIE and other entities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2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80" w:type="dxa"/>
            <w:vAlign w:val="bottom"/>
          </w:tcPr>
          <w:p>
            <w:pPr>
              <w:spacing w:after="0"/>
              <w:rPr>
                <w:sz w:val="9"/>
                <w:szCs w:val="9"/>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tcPr>
          <w:p>
            <w:pPr>
              <w:jc w:val="right"/>
              <w:ind w:right="20"/>
              <w:spacing w:after="0" w:line="114" w:lineRule="exact"/>
              <w:rPr>
                <w:sz w:val="20"/>
                <w:szCs w:val="20"/>
                <w:color w:val="auto"/>
              </w:rPr>
            </w:pPr>
            <w:r>
              <w:rPr>
                <w:rFonts w:ascii="Times New Roman" w:cs="Times New Roman" w:eastAsia="Times New Roman" w:hAnsi="Times New Roman"/>
                <w:sz w:val="13"/>
                <w:szCs w:val="13"/>
                <w:b w:val="1"/>
                <w:bCs w:val="1"/>
                <w:color w:val="auto"/>
              </w:rPr>
              <w:t>The Former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jc w:val="right"/>
              <w:ind w:right="32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9"/>
                <w:szCs w:val="9"/>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VIE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3"/>
          </w:tcPr>
          <w:p>
            <w:pPr>
              <w:jc w:val="right"/>
              <w:spacing w:after="0" w:line="126" w:lineRule="exact"/>
              <w:rPr>
                <w:sz w:val="20"/>
                <w:szCs w:val="20"/>
                <w:color w:val="auto"/>
              </w:rPr>
            </w:pPr>
            <w:r>
              <w:rPr>
                <w:rFonts w:ascii="Times New Roman" w:cs="Times New Roman" w:eastAsia="Times New Roman" w:hAnsi="Times New Roman"/>
                <w:sz w:val="14"/>
                <w:szCs w:val="14"/>
                <w:i w:val="1"/>
                <w:iCs w:val="1"/>
                <w:color w:val="auto"/>
              </w:rPr>
              <w:t>(RMB in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20"/>
              <w:spacing w:after="0" w:line="126" w:lineRule="exact"/>
              <w:rPr>
                <w:sz w:val="20"/>
                <w:szCs w:val="20"/>
                <w:color w:val="auto"/>
              </w:rPr>
            </w:pPr>
            <w:r>
              <w:rPr>
                <w:rFonts w:ascii="Times New Roman" w:cs="Times New Roman" w:eastAsia="Times New Roman" w:hAnsi="Times New Roman"/>
                <w:sz w:val="14"/>
                <w:szCs w:val="14"/>
                <w:i w:val="1"/>
                <w:iCs w:val="1"/>
                <w:color w:val="auto"/>
                <w:w w:val="84"/>
              </w:rPr>
              <w:t>thousands)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1,383,630</w:t>
            </w:r>
          </w:p>
        </w:tc>
        <w:tc>
          <w:tcPr>
            <w:tcW w:w="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(340,950)</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(58,781)</w:t>
            </w:r>
          </w:p>
        </w:tc>
        <w:tc>
          <w:tcPr>
            <w:tcW w:w="10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(860,452)</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123,447</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88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(1,327)</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b w:val="1"/>
                <w:bCs w:val="1"/>
                <w:color w:val="auto"/>
              </w:rPr>
              <w:t>1,664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ind w:left="5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337</w:t>
            </w: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80" w:type="dxa"/>
            <w:vAlign w:val="bottom"/>
            <w:tcBorders>
              <w:bottom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1,514,660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ind w:left="5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1,514,660</w:t>
            </w: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Effect of exchange rate on cash, cash equivalents and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2,898,290</w:t>
            </w:r>
          </w:p>
        </w:tc>
        <w:tc>
          <w:tcPr>
            <w:tcW w:w="6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(342,277)</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10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(881,003)</w:t>
            </w:r>
          </w:p>
        </w:tc>
        <w:tc>
          <w:tcPr>
            <w:tcW w:w="8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1,616,229</w:t>
            </w:r>
          </w:p>
        </w:tc>
        <w:tc>
          <w:tcPr>
            <w:tcW w:w="0" w:type="dxa"/>
            <w:vAlign w:val="bottom"/>
          </w:tcPr>
          <w:p>
            <w:pPr>
              <w:spacing w:after="0"/>
              <w:rPr>
                <w:sz w:val="1"/>
                <w:szCs w:val="1"/>
                <w:color w:val="auto"/>
              </w:rPr>
            </w:pPr>
          </w:p>
        </w:tc>
      </w:tr>
      <w:tr>
        <w:trPr>
          <w:trHeight w:val="194"/>
        </w:trPr>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180,001</w:t>
            </w:r>
          </w:p>
        </w:tc>
        <w:tc>
          <w:tcPr>
            <w:tcW w:w="6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1,232,323</w:t>
            </w:r>
          </w:p>
        </w:tc>
        <w:tc>
          <w:tcPr>
            <w:tcW w:w="20" w:type="dxa"/>
            <w:vAlign w:val="bottom"/>
          </w:tcPr>
          <w:p>
            <w:pPr>
              <w:spacing w:after="0"/>
              <w:rPr>
                <w:sz w:val="20"/>
                <w:szCs w:val="20"/>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58,781</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3,467,940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4,939,045</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end of the year</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3,078,291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890,046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2,586,937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6,555,274</w:t>
            </w:r>
          </w:p>
        </w:tc>
        <w:tc>
          <w:tcPr>
            <w:tcW w:w="0" w:type="dxa"/>
            <w:vAlign w:val="bottom"/>
          </w:tcPr>
          <w:p>
            <w:pPr>
              <w:spacing w:after="0"/>
              <w:rPr>
                <w:sz w:val="1"/>
                <w:szCs w:val="1"/>
                <w:color w:val="auto"/>
              </w:rPr>
            </w:pPr>
          </w:p>
        </w:tc>
      </w:tr>
      <w:tr>
        <w:trPr>
          <w:trHeight w:val="430"/>
        </w:trPr>
        <w:tc>
          <w:tcPr>
            <w:tcW w:w="4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0"/>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The Former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VIE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40" w:type="dxa"/>
            <w:vAlign w:val="bottom"/>
            <w:gridSpan w:val="2"/>
          </w:tcPr>
          <w:p>
            <w:pPr>
              <w:spacing w:after="0"/>
              <w:rPr>
                <w:sz w:val="17"/>
                <w:szCs w:val="17"/>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9"/>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(587,039)</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(203,051)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809,908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19,818</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(3,060)</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(794,986)</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5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gridSpan w:val="2"/>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(798,046)</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(2,276,260)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(2,276,260)</w:t>
            </w:r>
          </w:p>
        </w:tc>
        <w:tc>
          <w:tcPr>
            <w:tcW w:w="0" w:type="dxa"/>
            <w:vAlign w:val="bottom"/>
          </w:tcPr>
          <w:p>
            <w:pPr>
              <w:spacing w:after="0"/>
              <w:rPr>
                <w:sz w:val="1"/>
                <w:szCs w:val="1"/>
                <w:color w:val="auto"/>
              </w:rPr>
            </w:pPr>
          </w:p>
        </w:tc>
      </w:tr>
      <w:tr>
        <w:trPr>
          <w:trHeight w:val="174"/>
        </w:trPr>
        <w:tc>
          <w:tcPr>
            <w:tcW w:w="41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Effect of exchange rate on cash, cash equivalents and</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77,133</w:t>
            </w: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(2,863,299)</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(206,111)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(2,977,355)</w:t>
            </w:r>
          </w:p>
        </w:tc>
        <w:tc>
          <w:tcPr>
            <w:tcW w:w="0" w:type="dxa"/>
            <w:vAlign w:val="bottom"/>
          </w:tcPr>
          <w:p>
            <w:pPr>
              <w:spacing w:after="0"/>
              <w:rPr>
                <w:sz w:val="1"/>
                <w:szCs w:val="1"/>
                <w:color w:val="auto"/>
              </w:rPr>
            </w:pPr>
          </w:p>
        </w:tc>
      </w:tr>
      <w:tr>
        <w:trPr>
          <w:trHeight w:val="194"/>
        </w:trPr>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3,078,291</w:t>
            </w:r>
          </w:p>
        </w:tc>
        <w:tc>
          <w:tcPr>
            <w:tcW w:w="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890,046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2,586,937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6,555,274</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end of the year</w:t>
            </w: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214,992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683,935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p>
        </w:tc>
        <w:tc>
          <w:tcPr>
            <w:tcW w:w="80" w:type="dxa"/>
            <w:vAlign w:val="bottom"/>
            <w:gridSpan w:val="2"/>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2,678,992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3,577,919</w:t>
            </w:r>
          </w:p>
        </w:tc>
        <w:tc>
          <w:tcPr>
            <w:tcW w:w="0" w:type="dxa"/>
            <w:vAlign w:val="bottom"/>
          </w:tcPr>
          <w:p>
            <w:pPr>
              <w:spacing w:after="0"/>
              <w:rPr>
                <w:sz w:val="1"/>
                <w:szCs w:val="1"/>
                <w:color w:val="auto"/>
              </w:rPr>
            </w:pPr>
          </w:p>
        </w:tc>
      </w:tr>
      <w:tr>
        <w:trPr>
          <w:trHeight w:val="430"/>
        </w:trPr>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The Former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Luckin</w:t>
            </w:r>
          </w:p>
        </w:tc>
        <w:tc>
          <w:tcPr>
            <w:tcW w:w="140" w:type="dxa"/>
            <w:vAlign w:val="bottom"/>
            <w:gridSpan w:val="2"/>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The WFOE</w:t>
            </w:r>
          </w:p>
        </w:tc>
        <w:tc>
          <w:tcPr>
            <w:tcW w:w="160" w:type="dxa"/>
            <w:vAlign w:val="bottom"/>
            <w:gridSpan w:val="3"/>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VIE</w:t>
            </w: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7"/>
                <w:szCs w:val="17"/>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(184,240)</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(445,797)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3,530,462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2,900,425</w:t>
            </w:r>
          </w:p>
        </w:tc>
        <w:tc>
          <w:tcPr>
            <w:tcW w:w="0" w:type="dxa"/>
            <w:vAlign w:val="bottom"/>
          </w:tcPr>
          <w:p>
            <w:pPr>
              <w:spacing w:after="0"/>
              <w:rPr>
                <w:sz w:val="1"/>
                <w:szCs w:val="1"/>
                <w:color w:val="auto"/>
              </w:rPr>
            </w:pPr>
          </w:p>
        </w:tc>
      </w:tr>
      <w:tr>
        <w:trPr>
          <w:trHeight w:val="205"/>
        </w:trPr>
        <w:tc>
          <w:tcPr>
            <w:tcW w:w="4160" w:type="dxa"/>
            <w:vAlign w:val="bottom"/>
            <w:tcBorders>
              <w:bottom w:val="single" w:sz="8" w:color="CCEEFF"/>
            </w:tcBorders>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gridSpan w:val="2"/>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14,843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(3,461,942)</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5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gridSpan w:val="2"/>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(3,447,099)</w:t>
            </w: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3"/>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4"/>
        </w:trPr>
        <w:tc>
          <w:tcPr>
            <w:tcW w:w="41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Effect of exchange rate on cash, cash equivalents and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(184,240)</w:t>
            </w: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(430,954)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(539,276)</w:t>
            </w:r>
          </w:p>
        </w:tc>
        <w:tc>
          <w:tcPr>
            <w:tcW w:w="0" w:type="dxa"/>
            <w:vAlign w:val="bottom"/>
          </w:tcPr>
          <w:p>
            <w:pPr>
              <w:spacing w:after="0"/>
              <w:rPr>
                <w:sz w:val="1"/>
                <w:szCs w:val="1"/>
                <w:color w:val="auto"/>
              </w:rPr>
            </w:pPr>
          </w:p>
        </w:tc>
      </w:tr>
      <w:tr>
        <w:trPr>
          <w:trHeight w:val="194"/>
        </w:trPr>
        <w:tc>
          <w:tcPr>
            <w:tcW w:w="4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683,935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2,678,992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3,577,919</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end of the year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252,981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2,754,910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5.C.</w:t>
      </w:r>
      <w:r>
        <w:rPr>
          <w:sz w:val="20"/>
          <w:szCs w:val="20"/>
          <w:color w:val="auto"/>
        </w:rPr>
        <w:tab/>
      </w:r>
      <w:r>
        <w:rPr>
          <w:rFonts w:ascii="Times New Roman" w:cs="Times New Roman" w:eastAsia="Times New Roman" w:hAnsi="Times New Roman"/>
          <w:sz w:val="17"/>
          <w:szCs w:val="17"/>
          <w:b w:val="1"/>
          <w:bCs w:val="1"/>
          <w:color w:val="auto"/>
        </w:rPr>
        <w:t>Research and Development</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Technology is at the core of our business, and we will continue to invest in our technology, which covers every aspect of our business, from customer engagement and storefront operations to supply chain management. With our centralized technology system, we are able to simplify and standardize our operations, which allows us to improve operational efficiency and quickly expand and scale up our business. See “Item 4. Information on the Company—4.B. Business Overview—Technology.”</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5.D.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fiscal year ended December 31, 2023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5.E.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and assumptions that affect the reported amounts of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consolidated financial statements. We believe the following accounting policies involve the most significant judgments and estimates used in the preparation of our consolidated financial statements. You should read the following description of critical accounting policies, judgments and estimates in conjunction with our consolidated financial statements and other disclosures included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evaluate our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we recognize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of future cash flows requires us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we may be exposed to additional impairments of long-lived assets.</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2021, 2022, and 2023, we recognized impairment of long-lived assets other than goodwill of RMB21.4 million, RMB221.8 million, and RMB5.2 million (US$0.7 million), respectively.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Impairment loss of long-lived assets mainly represented RMB21.4 million for the asset group related to store operating equipment and others for the year ended December 31, 2021, RMB221.8 million for the asset group related to Luckin Coffee EXPRESS machines for the year ended December 31, 2022, and RMB5.2 million primarily for assets in relation to Luckin Tea for the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follow the liability method of accounting for income taxes in accordance with ASC 740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For certain subsidiaries, we record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spacing w:after="0" w:line="1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account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2021, 2022 and 2023 were RMB nil, RMB4.5million and RMB7.6 million (US$1.1 million), respectively, which represent our best estimate, in accordance with current PRC tax laws and regulations.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normal course of business, we are subject to contingencies, such as legal proceedings. Liabilities for the contingencies are recorded when it is probable that a liability has been incurred and the amount of the liability can be reasonably estimated.</w:t>
      </w:r>
    </w:p>
    <w:p>
      <w:pPr>
        <w:spacing w:after="0" w:line="16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which may result in a loss to us, but which will only be resolved when one or more future events occur or fail to occur. We assess these contingent liabilities, which inherently involves judgment. In assessing loss contingencies related to legal proceedings that are pending against us or unasserted claims that may result in legal proceedings, in consultation with its legal counsel, we evaluate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We apply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to account for our employee share-based payments. In accordance with ASC 718, we determine whether an award should be classified and accounted for as a liability award or equity award. All the share-based awards to employees and directors were classified as equity awards and are recognized in the consolidated financial statements based on their grant date fair values. We recognize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We account for forfeitures as they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 list of recent relevant accounting pronouncements, if any, is included in Note 2 “Summary of Significant Accounting Policies” to our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2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5"/>
        </w:trPr>
        <w:tc>
          <w:tcPr>
            <w:tcW w:w="37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Dr. Jinyi Guo</w:t>
            </w:r>
          </w:p>
        </w:tc>
        <w:tc>
          <w:tcPr>
            <w:tcW w:w="2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42</w:t>
            </w:r>
          </w:p>
        </w:tc>
        <w:tc>
          <w:tcPr>
            <w:tcW w:w="28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Wenbao Cao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54</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Senior Vice President</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 Liu</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58</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Cha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60</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Shao</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67</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Shaoqiang (Gary) Liu</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41</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Qianli Liu</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Weihao (Michael) Chen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44</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 Liu</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54</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A. Getz</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59</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 An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47</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 Yang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46</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Growth Officer</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 Jiang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Weiming Zhou</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51</w:t>
            </w:r>
          </w:p>
        </w:tc>
        <w:tc>
          <w:tcPr>
            <w:tcW w:w="2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 Zang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36</w:t>
            </w:r>
          </w:p>
        </w:tc>
        <w:tc>
          <w:tcPr>
            <w:tcW w:w="2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9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Jinyi Guo </w:t>
      </w:r>
      <w:r>
        <w:rPr>
          <w:rFonts w:ascii="Times New Roman" w:cs="Times New Roman" w:eastAsia="Times New Roman" w:hAnsi="Times New Roman"/>
          <w:sz w:val="18"/>
          <w:szCs w:val="18"/>
          <w:color w:val="auto"/>
        </w:rPr>
        <w:t>is one of the co-founders of the Company and has served as our director since June 2018 and our chairman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chief executive officer since July 2020. Dr. Guo served at various positions at UCAR Inc. from 2016 to 2017. He worked at the Ministry of Transport from 2011 to 2016, and worked at China Academy of Transportation Sciences as a research assistant from 2009 to 2011. Dr. Guo obtained his master’s degree in July 2005 and a Ph.D. in July 2009 from Beijing Jiaotong University, majoring in transportation planning and management. Dr. Guo was a visiting scholar at the University of Leeds in 2008.</w:t>
      </w:r>
    </w:p>
    <w:p>
      <w:pPr>
        <w:spacing w:after="0" w:line="14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Wenbao Cao </w:t>
      </w:r>
      <w:r>
        <w:rPr>
          <w:rFonts w:ascii="Times New Roman" w:cs="Times New Roman" w:eastAsia="Times New Roman" w:hAnsi="Times New Roman"/>
          <w:sz w:val="18"/>
          <w:szCs w:val="18"/>
          <w:color w:val="auto"/>
        </w:rPr>
        <w:t>has served as our director since May 2020 and Senior Vice President of the Company since June 2018. Mr. Cao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in charge of the Company’s operations, including store development, construction, operation and customer service. Before joining the Company, Mr. Cao had over 23 years of experience at McDonald’s China and served in various positions, including vice president and North regional manager at McDonald’s China.</w:t>
      </w:r>
    </w:p>
    <w:p>
      <w:pPr>
        <w:spacing w:after="0" w:line="13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Feng Liu </w:t>
      </w:r>
      <w:r>
        <w:rPr>
          <w:rFonts w:ascii="Times New Roman" w:cs="Times New Roman" w:eastAsia="Times New Roman" w:hAnsi="Times New Roman"/>
          <w:sz w:val="18"/>
          <w:szCs w:val="18"/>
          <w:color w:val="auto"/>
        </w:rPr>
        <w:t>is a leading scholar expertized on accounting studies. Mr. Liu is currently a professor and the director of Center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Studies at Xiamen University. He is also a member of IFRS Advisory Council. Mr. Liu has accumulated rich experience on practices in auditing, accounting, internal control and risk management, serving a long time as an independent director of different companies and consultant of various firms.</w:t>
      </w:r>
    </w:p>
    <w:p>
      <w:pPr>
        <w:spacing w:after="0" w:line="15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Yang Cha </w:t>
      </w:r>
      <w:r>
        <w:rPr>
          <w:rFonts w:ascii="Times New Roman" w:cs="Times New Roman" w:eastAsia="Times New Roman" w:hAnsi="Times New Roman"/>
          <w:sz w:val="18"/>
          <w:szCs w:val="18"/>
          <w:color w:val="auto"/>
        </w:rPr>
        <w:t>has more than 20 years of work experience in law, investment and management. From 2013 to 2019, Mr. Cha acted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President of Tsinghua Education Foundation, North America, a non-profit organization registered in, and regulated by, authorities in the United States, in the meanwhile acting as a venture partner for several venture capital firms with a focus on early-stage technology start-ups. Prior to that, Mr. Cha worked at leading law firms in the United States and China with a focus in corporate finance and governance matters.</w:t>
      </w:r>
    </w:p>
    <w:p>
      <w:pPr>
        <w:spacing w:after="0" w:line="141"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Sean Shao </w:t>
      </w:r>
      <w:r>
        <w:rPr>
          <w:rFonts w:ascii="Times New Roman" w:cs="Times New Roman" w:eastAsia="Times New Roman" w:hAnsi="Times New Roman"/>
          <w:sz w:val="18"/>
          <w:szCs w:val="18"/>
          <w:color w:val="auto"/>
        </w:rPr>
        <w:t>has served as an independent director and the chairman of the audit committee of 21Vianet Group, Inc.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VNET) since 2015 and UTStarcom Holdings Corp. (NASDAQ: UTSI) since 2012. Mr. Shao served several board and senior executive roles in various companies. Mr. Shao also worked at Deloitte Touche Tohmatsu CPA Ltd. for approximately a decade. Mr. Shao obtained a bachelor’s degree in art from East China Normal University in 1982 and a master’s degree in health care administration from the University of California at Los Angeles in 1988. Mr. Shao is a member of the American Institute of Certified Public Accountants.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Shaoqiang (Gary) Liu </w:t>
      </w:r>
      <w:r>
        <w:rPr>
          <w:rFonts w:ascii="Times New Roman" w:cs="Times New Roman" w:eastAsia="Times New Roman" w:hAnsi="Times New Roman"/>
          <w:sz w:val="18"/>
          <w:szCs w:val="18"/>
          <w:color w:val="auto"/>
        </w:rPr>
        <w:t>has more than 15 years’ work experience in banking, investment and management. Mr. Liu is currently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and managing director at Centurium Capital. Mr. Liu also served several board and senior executive roles in various companies. Mr. Liu holds an M.B.A. in Finance from China Europe International Business School, and a B.S. degree in Applied Mathematics from Fudan University. Mr. Liu is a CFA Charter holder.</w:t>
      </w:r>
    </w:p>
    <w:p>
      <w:pPr>
        <w:spacing w:after="0" w:line="17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Ms. Qianli Liu </w:t>
      </w:r>
      <w:r>
        <w:rPr>
          <w:rFonts w:ascii="Times New Roman" w:cs="Times New Roman" w:eastAsia="Times New Roman" w:hAnsi="Times New Roman"/>
          <w:sz w:val="17"/>
          <w:szCs w:val="17"/>
          <w:color w:val="auto"/>
        </w:rPr>
        <w:t>is currently the assistant headmistress at Beijing Keystone Academy. She has over 20 years of experience in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banking and finance, including her current position as well as previously holding senior management positions at Phoenix New Media Limited (NYSE: FENG), ChinaEdu Corp. (NASDAQ: CEDU) and MainOne Information Technology Company Ltd. She is currently also an independent director of XD Inc. (HKEX: 2400.HK), an independent director of BAIOO Family Interactive Limited (HKEX: 2100.HK), and an independent director of Feiyu Technology International Company Ltd. (HKEX: 1022.HK). Ms. Liu obtained her bachelor’s degree from Dartmouth College in 1997 and her MBA from the Massachusetts Institute of Technology Sloan School of Management in 2003.</w:t>
      </w:r>
    </w:p>
    <w:p>
      <w:pPr>
        <w:spacing w:after="0" w:line="16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Mr. Weihao (Michael) Chen </w:t>
      </w:r>
      <w:r>
        <w:rPr>
          <w:rFonts w:ascii="Times New Roman" w:cs="Times New Roman" w:eastAsia="Times New Roman" w:hAnsi="Times New Roman"/>
          <w:sz w:val="18"/>
          <w:szCs w:val="18"/>
          <w:color w:val="auto"/>
        </w:rPr>
        <w:t>has been a partner and managing director of Centurium Capital since July 2019. From October 2011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2019, Mr. Chen worked at a Warburg Pincus entity where his last held position was a managing director. Prior to that, Mr. Chen worked as a vice president at Crescent Advisors China (Shanghai) Co., Ltd. Mr. Chen also worked for Morgan Stanley Asia Limited in Hong Kong and Accenture Consulting Co Limited in China earlier in his career. Mr. Chen is currently a director of ANE (Cayman) Inc., a Hong Kong listed company and chairman of its ESG committee. Mr. Chen obtained his bachelor’s degree in accounting from Fudan University in July 2002 and his MBA from the INSEAD Business School in 2006. Mr. Chen is a member of the Association of Chartered Certified Accountants.</w:t>
      </w:r>
    </w:p>
    <w:p>
      <w:pPr>
        <w:spacing w:after="0" w:line="18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Jun Liu </w:t>
      </w:r>
      <w:r>
        <w:rPr>
          <w:rFonts w:ascii="Times New Roman" w:cs="Times New Roman" w:eastAsia="Times New Roman" w:hAnsi="Times New Roman"/>
          <w:sz w:val="18"/>
          <w:szCs w:val="18"/>
          <w:color w:val="auto"/>
        </w:rPr>
        <w:t>is a partner and managing director of Centurium Capital. Prior to joining Centurium Capital, Mr. Liu worked at Warburg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Pincus Asia LLC and Goldman Sachs (Asia) LLC in Hong Kong, O’Melveny &amp; Myers LLP in Beijing, and Cahill Gordon &amp; Reindel LLP in New York City. Mr. Liu graduated from Foreign Affairs College in Beijing, China, Vanderbilt University and New York University. Mr. Liu is qualified to practice law in China and the State of New York.</w:t>
      </w:r>
    </w:p>
    <w:p>
      <w:pPr>
        <w:spacing w:after="0" w:line="1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Mr. Joel A. Getz </w:t>
      </w:r>
      <w:r>
        <w:rPr>
          <w:rFonts w:ascii="Times New Roman" w:cs="Times New Roman" w:eastAsia="Times New Roman" w:hAnsi="Times New Roman"/>
          <w:sz w:val="18"/>
          <w:szCs w:val="18"/>
          <w:color w:val="auto"/>
        </w:rPr>
        <w:t>currently serves as the Deputy Dean for Alumni, Development, and Special Initiatives at the Yale School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which he joined in February 2008. At the Yale School of Management, Mr. Getz is in charge of all fundraising and alumni initiatives. Prior to joining the Yale School of Management, Mr. Getz worked with a number of organizations including Stanford University and the Mayor’s Fund to Advance New York City. Mr. Getz was President of the Mayor’s Fund, working with New York City Mayor Michael R. Bloomberg, deputy mayors, and agency commissioners, as well as a 50-member board of top CEOs, financiers, philanthropists and community leaders, to plan, prioritize and implement fundraising initiatives to support civic improvements in the City of New York. From 1990 to 1997, Mr. Getz was the President and Co-Founder of Rim Pacific, a manufacturing and distribution firm focusing on art reproductions. Mr. Getz received his B.A. in 1986 from Harvard University where he was First Marshal of his class and has served on the board of the Alumni Association.</w:t>
      </w:r>
    </w:p>
    <w:p>
      <w:pPr>
        <w:spacing w:after="0" w:line="1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Ms. Jing An </w:t>
      </w:r>
      <w:r>
        <w:rPr>
          <w:rFonts w:ascii="Times New Roman" w:cs="Times New Roman" w:eastAsia="Times New Roman" w:hAnsi="Times New Roman"/>
          <w:sz w:val="18"/>
          <w:szCs w:val="18"/>
          <w:color w:val="auto"/>
        </w:rPr>
        <w:t>has served as our chief financial officer since August 2022. Prior to joining the Company, Ms. An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58 Daojia Inc. from 2016 to 2022. Prior to joining 58 Daojia Inc., Ms. An worked at ChinaCache International Holdings Ltd. from 2013 to 2016, where her last position was chief financial officer. Ms. An has held senior corporate finance and management positions, including at Rekoo Media Ltd. from 2010 to 2012, Cooloft Technology Ltd. from 2007 to 2009 and eFriendsNet Entertainment Ltd. from 2003 to 2006. Ms. An began her professional career at PricewaterhouseCoopers in Beijing in 1998, where her last position was senior accountant. Ms. An received a master of science degree in management from the Stanford Graduate School of Business in 2010 and a bachelor’s degree in economics with a major in accounting from Renmin University of China in 1998.</w:t>
      </w:r>
    </w:p>
    <w:p>
      <w:pPr>
        <w:spacing w:after="0" w:line="18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Fei Yang </w:t>
      </w:r>
      <w:r>
        <w:rPr>
          <w:rFonts w:ascii="Times New Roman" w:cs="Times New Roman" w:eastAsia="Times New Roman" w:hAnsi="Times New Roman"/>
          <w:sz w:val="18"/>
          <w:szCs w:val="18"/>
          <w:color w:val="auto"/>
        </w:rPr>
        <w:t>has served as our chief growth officer in charge of sales growth, user operation and marketing since June 2020. He is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co-founders of the Company and has been responsible for Luckin’s brand creation since the inception of our Company. Mr. Yang has more than 20 years’ experience in the areas of branding and digital marketing. He is also the author of The Flow-Pool Thinking, a popular book on sales and marketing in China. Mr. Yang obtained his master’s degree in journalism and communication from the Communication University of China.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Mr. Shan Jiang </w:t>
      </w:r>
      <w:r>
        <w:rPr>
          <w:rFonts w:ascii="Times New Roman" w:cs="Times New Roman" w:eastAsia="Times New Roman" w:hAnsi="Times New Roman"/>
          <w:sz w:val="18"/>
          <w:szCs w:val="18"/>
          <w:color w:val="auto"/>
        </w:rPr>
        <w:t>joined Luckin in September 2020 as special counsel and was named senior vice president in charge of legal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matters in February 2021. Before joining the Company, Mr. Jiang served as Associate General Counsel of Airbnb, Inc. (NASDAQ: ABNB), where he was in charge of legal and compliance matters in China. Prior to joining Airbnb, Inc., Mr. Jiang has worked for Amazon.com, Inc. (NASDAQ: AMZN) and also for Davis Polk &amp; Wardwell LLP, where he had experiences in major commercial transactions and capital markets. Mr. Jiang obtained a bachelor’s degree from Peking University, a master’s degree in computer science from Dartmouth College and a Juris Doctor degree from Columbia Law School.</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Mr. Weiming Zhou </w:t>
      </w:r>
      <w:r>
        <w:rPr>
          <w:rFonts w:ascii="Times New Roman" w:cs="Times New Roman" w:eastAsia="Times New Roman" w:hAnsi="Times New Roman"/>
          <w:sz w:val="18"/>
          <w:szCs w:val="18"/>
          <w:color w:val="auto"/>
        </w:rPr>
        <w:t>has served as our senior vice president in charge of product since December 2019. Mr. Zhou has more than 20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experience in the catering and food sectors. Before joining the Company, Mr. Zhou served as senior director of Meituan (3690.HK), where he was in charge of catering and proprietary products. Prior to joining Meituan, Mr. Zhou served as director of product development of Yum! Brands, where he was in charge of product development. Prior to that, Mr. Zhou served in various positions in Coca Cola and McCormick. Mr. Zhou obtained his bachelor’s degree in grain and oilseeds engineering from Jiangnan University (formerly known as Wuxi Institute of Light Industry).</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Ms. Tian Zang </w:t>
      </w:r>
      <w:r>
        <w:rPr>
          <w:rFonts w:ascii="Times New Roman" w:cs="Times New Roman" w:eastAsia="Times New Roman" w:hAnsi="Times New Roman"/>
          <w:sz w:val="17"/>
          <w:szCs w:val="17"/>
          <w:color w:val="auto"/>
        </w:rPr>
        <w:t>joined Luckin in May 2020 and had been serving as our HR vice president since September 2021. She was appointed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senior vice president responsible for HR matters and Project Management Office (PMO) of the President's Office in October 2023. With the joint efforts of Ms. Zang and the rest of the Company's executives, the Company successfully reshaped and upgraded the HR management system to effectively support the rapid growth of the business. Prior to joining Luckin, Ms. Zang held various positions at UCAR Inc. from 2016 to 2020. Ms. Zang also worked as a teacher at the University of Science and Technology Beijing from 2013 to 2016.</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6.B.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2023, we paid an aggregate of RMB35.8 million (US$5.0 million) in cash to our executive officers, and paid an aggregate of RMB5.3 million (US$0.8 million) in cash to our non-executive directors. We have not set aside or accrued any amount to provide pension, retirement or other similar benefits to our executive officers, except that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share incentive grants to our directors, executive officers and employees, see “—Share Incentive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an executive officer’s employment for cause at any time without advance notice in certain events, including acts of the executive officer, such as conviction or plea of guilty to a felony or any crime involving moral turpitude, negligent or dishonest acts to our detriment. We may terminate an executive officer’s employment in circumstances prescribed under and in accordance with the applicable labor law by giving a prior written notice and paying certain compensation. An executive officer may terminate his or her employment at any time by giving a prior written notice. Some of our executive officers are entitled to certain compensation or benefits in the event of a change of control.</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Share Option Plan</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adopted the 2019 Share Option Plan, in January 2019. The purpose of the 2019 Share Option Plan is to enhance our ability to attract and retain exceptionally qualified individuals and to encourage them to acquire a proprietary interest in the growth and performance of us. The maximum aggregate number of Class A Ordinary Shares that can be issued under the 2019 Share Option Plan is 79,015,500. As of March 31, 2024, 66,695,568 options (excluding any granted options that were subsequently canceled or expired) have been granted with 2,558,520 vested yet not exercised and 158,048 unvested options under the 2019 Share Option Plan.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principal terms of the 2019 Share Option Plan.</w:t>
      </w:r>
    </w:p>
    <w:p>
      <w:pPr>
        <w:spacing w:after="0" w:line="21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Eligible participants. </w:t>
      </w:r>
      <w:r>
        <w:rPr>
          <w:rFonts w:ascii="Times New Roman" w:cs="Times New Roman" w:eastAsia="Times New Roman" w:hAnsi="Times New Roman"/>
          <w:sz w:val="18"/>
          <w:szCs w:val="18"/>
          <w:color w:val="auto"/>
        </w:rPr>
        <w:t>Our employees, officers, directors, business associates or any other individual as determined by our Board,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 discretion, who has contributed or will contribute to our company, is eligible to participate in the 2019 Share Option Plan.</w:t>
      </w:r>
    </w:p>
    <w:p>
      <w:pPr>
        <w:spacing w:after="0" w:line="16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Vested options have become exercisable after the IPO of our Ordinary Shares, subject to other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relevant grant letter. Once all the preconditions are met, a participant may exercise options in whole or in part by giving written notice of exercise to us specifying information such as the number of shares to be purchased, as well as making full payment of the aggregate exercise price of the shares so purchased.</w:t>
      </w:r>
    </w:p>
    <w:p>
      <w:pPr>
        <w:spacing w:after="0" w:line="177"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in respect of options granted under the 2019 Share Option Plan is determined by our Board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and set forth in the grant letter subject to any adjustment as a result of any alteration in the capital structure of our company by way of capitalization of profits or reserves, rights issue, subdivision or consolidation of shares or reduction of share capital of our company from time to time, but excluding, for the avoidance of doubt, any alteration in the capital structure of our company as a result of an issue of shares or other securities as consideration in a transaction to which our company is a party.</w:t>
      </w:r>
    </w:p>
    <w:p>
      <w:pPr>
        <w:spacing w:after="0" w:line="18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Our Board has the sole discretion in determining the individual vesting schedules and other restrictions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awarded and opinions granted under such plan.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plan is administered by our Board.</w:t>
      </w:r>
    </w:p>
    <w:p>
      <w:pPr>
        <w:spacing w:after="0" w:line="21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Lapse of option. </w:t>
      </w:r>
      <w:r>
        <w:rPr>
          <w:rFonts w:ascii="Times New Roman" w:cs="Times New Roman" w:eastAsia="Times New Roman" w:hAnsi="Times New Roman"/>
          <w:sz w:val="18"/>
          <w:szCs w:val="18"/>
          <w:color w:val="auto"/>
        </w:rPr>
        <w:t>An option issued under the 2019 Share Option Plan shall lapse automatically under certain circumstances,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limited to the expiration of option period, termination of employment for cause and the tenth anniversary of the adoption date of such plan.</w:t>
      </w:r>
    </w:p>
    <w:p>
      <w:pPr>
        <w:spacing w:after="0" w:line="17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Any change to the authority of our Board in relation to any alteration to the terms of the 2019 Share Option Plan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shareholders in general meeting. Subject to the above, our Board may amend any of the provisions of such plan at any time provided that such amendment shall not affect adversely any rights that have accrued to any grantee at that date.</w:t>
      </w:r>
    </w:p>
    <w:p>
      <w:pPr>
        <w:spacing w:after="0" w:line="17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2019 Share Option Plan will terminate on the tenth anniversary of its date of adoption, unless terminated earlier.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ordinary resolution in a general meeting, or our Board may, at any time, terminate the operation of such plan, and in such event no further options shall be granted. Options granted prior to such termination but not yet exercised at the time of termination shall continue to be valid and exercisable in accordance with the scheme.</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An option is personal to the grantee and shall not be assignable or transferable.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shares reserved and to be issued under our 2019 Share Option Plan have been registered on the Form S-8 on June 13, 2019.</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adopted a share incentive plan in January 2021, which we refer to as the 2021 Equity Incentive Plan in this annual report, to retain, attract and motivate employees and directors by providing them with equity incentives. The maximum aggregate number of Ordinary Shares we are authorized to issue pursuant to all awards under the 2021 Equity Incentive Plan is 222,769,232 Ordinary Shares. As of March 31, 2024, restricted share units to receive ADSs representing 155,685,944 Class A Ordinary Shares (excluding any granted restricted share units that were subsequently canceled), have been granted with restricted share units to receive ADSs representing 88,850,112 Class A Ordinary Shares vested under the 2021 Equity Incentive Plan.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principal terms of the 2021 Equity Incentive Plan.</w:t>
      </w:r>
    </w:p>
    <w:p>
      <w:pPr>
        <w:spacing w:after="0" w:line="21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2021 Equity Incentive Plan permits the awards of options, restricted shares, restricted share unit awards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awards approved by the compensation committee of our Board, or any other committee appointed by the Board to administer the 2021 Equity Incentive Plan (the “Committee”) granted to a plan participant pursuant to the 2021 Equity Incentive Plan.</w:t>
      </w:r>
    </w:p>
    <w:p>
      <w:pPr>
        <w:spacing w:after="0" w:line="17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Award agreements. </w:t>
      </w:r>
      <w:r>
        <w:rPr>
          <w:rFonts w:ascii="Times New Roman" w:cs="Times New Roman" w:eastAsia="Times New Roman" w:hAnsi="Times New Roman"/>
          <w:sz w:val="18"/>
          <w:szCs w:val="18"/>
          <w:color w:val="auto"/>
        </w:rPr>
        <w:t>Awards under the 2021 Equity Incentive Plan shall be evidenced by award agreements that set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Eligible participants. </w:t>
      </w:r>
      <w:r>
        <w:rPr>
          <w:rFonts w:ascii="Times New Roman" w:cs="Times New Roman" w:eastAsia="Times New Roman" w:hAnsi="Times New Roman"/>
          <w:sz w:val="18"/>
          <w:szCs w:val="18"/>
          <w:color w:val="auto"/>
        </w:rPr>
        <w:t>Our employees, consultants and directors as determined by the compensation committee of our Board,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committee appointed by the Board to administer the 2021 Equity Incentive Plan, by record in writing in its sole discretion, are eligible to participate in the 2021 Equity Incentive Plan.</w:t>
      </w:r>
    </w:p>
    <w:p>
      <w:pPr>
        <w:spacing w:after="0" w:line="173"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Exercise of options. </w:t>
      </w:r>
      <w:r>
        <w:rPr>
          <w:rFonts w:ascii="Times New Roman" w:cs="Times New Roman" w:eastAsia="Times New Roman" w:hAnsi="Times New Roman"/>
          <w:sz w:val="17"/>
          <w:szCs w:val="17"/>
          <w:color w:val="auto"/>
        </w:rPr>
        <w:t>The Committee shall determine the time or times at which an option may be exercised in whole or in part,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exercise prior to vesting; provided that the term of any option granted under the 2021 Equity Incentive Plan shall not exceed ten years. The Committee shall also determine the conditions, if any, that must be satisfied before all or part of an option may be exercised.</w:t>
      </w:r>
    </w:p>
    <w:p>
      <w:pPr>
        <w:spacing w:after="0" w:line="15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per share subject to an option shall be determined by the Committee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unless otherwise determined by the Committee, may be a fixed or variable price related to the fair market value of the shares on the date of grant; provided, however, that no option may be granted to an individual subject to taxation in the United States with an exercise price per share at less than the fair market value on the date of grant.</w:t>
      </w:r>
    </w:p>
    <w:p>
      <w:pPr>
        <w:spacing w:after="0" w:line="17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2021 Equity Incentive Plan shall be administered by the Committee to whom the Board shall delegate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grant or amend awards to participants.</w:t>
      </w:r>
    </w:p>
    <w:p>
      <w:pPr>
        <w:spacing w:after="0" w:line="16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in its sole discretion may terminate the 2021 Equity Incentive Plan at any time.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amend the 2021 Equity Incentive Plan at any time in such respects as the board may deem advisable; provided that to the extent necessary and desirable to comply with applicable laws, or stock exchange rules, the Company shall obtain shareholder approval of any amendment in such a manner and to such a degree as required.</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Except as provided in the 2021 Equity Incentive Plan, all awards are nontransferable and will not be subject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manner to sale, transfer, anticipation, alienation, assignment, pledge, encumbrance or charge, and will be exercised only by the participant. Amounts payable or shares issuable pursuant to an award will be delivered only to (or for the account of), and, in the case of shares, registered in the name of, the participant.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as of the date of this annual report, the number of Class A Ordinary Shares under outstanding options and awards that we granted to our directors and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Share-Based</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Date of Expiration</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172"/>
        </w:trPr>
        <w:tc>
          <w:tcPr>
            <w:tcW w:w="2080" w:type="dxa"/>
            <w:vAlign w:val="bottom"/>
            <w:gridSpan w:val="2"/>
            <w:vMerge w:val="continue"/>
          </w:tcPr>
          <w:p>
            <w:pPr>
              <w:spacing w:after="0"/>
              <w:rPr>
                <w:sz w:val="14"/>
                <w:szCs w:val="14"/>
                <w:color w:val="auto"/>
              </w:rPr>
            </w:pPr>
          </w:p>
        </w:tc>
        <w:tc>
          <w:tcPr>
            <w:tcW w:w="1140" w:type="dxa"/>
            <w:vAlign w:val="bottom"/>
          </w:tcPr>
          <w:p>
            <w:pPr>
              <w:jc w:val="center"/>
              <w:spacing w:after="0" w:line="173" w:lineRule="exact"/>
              <w:rPr>
                <w:sz w:val="20"/>
                <w:szCs w:val="20"/>
                <w:color w:val="auto"/>
              </w:rPr>
            </w:pPr>
            <w:r>
              <w:rPr>
                <w:rFonts w:ascii="Times New Roman" w:cs="Times New Roman" w:eastAsia="Times New Roman" w:hAnsi="Times New Roman"/>
                <w:sz w:val="13"/>
                <w:szCs w:val="13"/>
                <w:b w:val="1"/>
                <w:bCs w:val="1"/>
                <w:color w:val="auto"/>
              </w:rPr>
              <w:t>Awards Granted</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4"/>
                <w:szCs w:val="14"/>
                <w:color w:val="auto"/>
              </w:rPr>
            </w:pPr>
          </w:p>
        </w:tc>
        <w:tc>
          <w:tcPr>
            <w:tcW w:w="1160" w:type="dxa"/>
            <w:vAlign w:val="bottom"/>
          </w:tcPr>
          <w:p>
            <w:pPr>
              <w:jc w:val="center"/>
              <w:spacing w:after="0" w:line="173" w:lineRule="exact"/>
              <w:rPr>
                <w:sz w:val="20"/>
                <w:szCs w:val="20"/>
                <w:color w:val="auto"/>
              </w:rPr>
            </w:pP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 per Share)</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from January 18, 2019 to January</w:t>
            </w:r>
          </w:p>
        </w:tc>
        <w:tc>
          <w:tcPr>
            <w:tcW w:w="18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Jinyi Guo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32,466,160</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0.0002</w:t>
            </w: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30, 2024</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18, 2029</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January 18, 2019 to January</w:t>
            </w:r>
          </w:p>
        </w:tc>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from January 18, 2029 to</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Wenbao Cao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0.0002</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30, 2024</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2030</w:t>
            </w: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July 1, 2021 to January 17,</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 Liu</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July 1, 2021 to January 17,</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Cha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July 1, 2021 to January 17,</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Shao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January 18, 2019 to January</w:t>
            </w:r>
          </w:p>
        </w:tc>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from January 18, 2029 to</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 Yang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0.0002</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30, 2024</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2030</w:t>
            </w: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February 1, 2021 to January</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 Jiang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30, 2024</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November 6, 2020 to</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Weiming Zhou</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0.0002</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January 30, 2024</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2030</w:t>
            </w:r>
          </w:p>
        </w:tc>
        <w:tc>
          <w:tcPr>
            <w:tcW w:w="0" w:type="dxa"/>
            <w:vAlign w:val="bottom"/>
          </w:tcPr>
          <w:p>
            <w:pPr>
              <w:spacing w:after="0"/>
              <w:rPr>
                <w:sz w:val="1"/>
                <w:szCs w:val="1"/>
                <w:color w:val="auto"/>
              </w:rPr>
            </w:pPr>
          </w:p>
        </w:tc>
      </w:tr>
      <w:tr>
        <w:trPr>
          <w:trHeight w:val="212"/>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Qianli Liu</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January 17, 2023</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A. Getz</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January 17, 2023</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July 1, 2022 to January 30,</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 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From February 1, 2021 to January</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 Zang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30, 2024</w:t>
            </w: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5735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173"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 on an as-converted basis.</w:t>
      </w:r>
    </w:p>
    <w:p>
      <w:pPr>
        <w:spacing w:after="0" w:line="217" w:lineRule="exact"/>
        <w:rPr>
          <w:sz w:val="20"/>
          <w:szCs w:val="20"/>
          <w:color w:val="auto"/>
        </w:rPr>
      </w:pPr>
    </w:p>
    <w:p>
      <w:pPr>
        <w:ind w:left="320" w:hanging="313"/>
        <w:spacing w:after="0" w:line="274"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shares underlying options and shares in the form of restricted share units. Restricted share units have no applicable exercise price or expiration date.</w:t>
      </w:r>
    </w:p>
    <w:p>
      <w:pPr>
        <w:spacing w:after="0" w:line="16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to restricted share units.</w:t>
      </w:r>
    </w:p>
    <w:p>
      <w:pPr>
        <w:spacing w:after="0" w:line="21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to restricted share units.</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the date of this annual report, other grantees as a group were granted (i) options (excluding any granted options that were subsequently canceled) to purchase 15,493,832 Class A Ordinary Shares, and (ii) restricted share units representing 112,521,064 Class A Ordinary Shares (in the form of 14,065,133 ADSs).</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6.C.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consists of ten directors, including five independent directors, namely Mr. Feng Liu, Mr. Yang Cha, Mr. Sean Shao, Ms.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Qianli Liu and Mr. Joel A. Getz. A director is not required to hold any shares in our company to qualify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We have adopted a charter for each of the three committees. Each committee’s members and functions are described below.</w:t>
      </w:r>
    </w:p>
    <w:p>
      <w:pPr>
        <w:spacing w:after="0" w:line="159"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Committee. </w:t>
      </w:r>
      <w:r>
        <w:rPr>
          <w:rFonts w:ascii="Times New Roman" w:cs="Times New Roman" w:eastAsia="Times New Roman" w:hAnsi="Times New Roman"/>
          <w:sz w:val="17"/>
          <w:szCs w:val="17"/>
          <w:color w:val="auto"/>
        </w:rPr>
        <w:t>Our audit committee consists of Mr. Feng Liu, Mr. Yang Cha, Ms. Qianli Liu and Mr. Sean Shao, and is chaired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Feng Liu. We have determined that each of Mr. Feng Liu, Mr. Yang Cha, Ms. Qianli Liu and Mr. Sean Shao meets the independence standards under Rule 10A-3 under the Securities Exchange Act of 1934, as amended. We have determined that Mr. Feng Liu qualifies as an “audit committee financial expert” within the meaning of the SEC rules. The audit committee oversees our accounting and financial reporting processes and the audits of the financial statements of our company. The audit committee is responsible for, among other things:</w:t>
      </w:r>
    </w:p>
    <w:p>
      <w:pPr>
        <w:spacing w:after="0" w:line="168" w:lineRule="exact"/>
        <w:rPr>
          <w:sz w:val="20"/>
          <w:szCs w:val="20"/>
          <w:color w:val="auto"/>
        </w:rPr>
      </w:pPr>
    </w:p>
    <w:p>
      <w:pPr>
        <w:ind w:left="660" w:hanging="309"/>
        <w:spacing w:after="0" w:line="27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 at least annually;</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registered public accounting firm any audit problems or difficulties and management’s response;</w:t>
      </w:r>
    </w:p>
    <w:p>
      <w:pPr>
        <w:spacing w:after="0" w:line="228" w:lineRule="exact"/>
        <w:rPr>
          <w:rFonts w:ascii="Times New Roman" w:cs="Times New Roman" w:eastAsia="Times New Roman" w:hAnsi="Times New Roman"/>
          <w:sz w:val="17"/>
          <w:szCs w:val="17"/>
          <w:color w:val="auto"/>
        </w:rPr>
      </w:pPr>
    </w:p>
    <w:p>
      <w:pPr>
        <w:ind w:left="660" w:hanging="309"/>
        <w:spacing w:after="0" w:line="27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and issues regarding accounting and auditing principles and practices;</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Sean Shao, Dr. Jinyi Guo, Mr. Yang Cha, Mr. Weihao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(Michael) Chen, Mr. Feng Liu and Mr. Shaoqiang (Gary) Liu and is chaired by Mr. Sean Shao. The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181" w:lineRule="exact"/>
        <w:rPr>
          <w:sz w:val="20"/>
          <w:szCs w:val="20"/>
          <w:color w:val="auto"/>
        </w:rPr>
      </w:pPr>
    </w:p>
    <w:p>
      <w:pPr>
        <w:ind w:left="660" w:hanging="30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or recommending to the Board for its approval, the compensation for our executive officers;</w:t>
      </w:r>
    </w:p>
    <w:p>
      <w:pPr>
        <w:spacing w:after="0" w:line="163"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recommending to the Board for determination with respect to the compensation of our non-executive directors;</w:t>
      </w:r>
    </w:p>
    <w:p>
      <w:pPr>
        <w:spacing w:after="0" w:line="163"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periodically and approving any incentive compensation or equity plans, programs or other similar arrangements;</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 and</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15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Nominating and Corporate Governance Committee. </w:t>
      </w:r>
      <w:r>
        <w:rPr>
          <w:rFonts w:ascii="Times New Roman" w:cs="Times New Roman" w:eastAsia="Times New Roman" w:hAnsi="Times New Roman"/>
          <w:sz w:val="17"/>
          <w:szCs w:val="17"/>
          <w:color w:val="auto"/>
        </w:rPr>
        <w:t>Our nominating and corporate governance committee consists of Mr. Weihao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(Michael) Chen, Dr. Jinyi Guo, Mr. Yang Cha and Mr. Jun Liu, and is chaired by Mr. Weihao (Michael) Chen.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65" w:lineRule="exact"/>
        <w:rPr>
          <w:sz w:val="20"/>
          <w:szCs w:val="20"/>
          <w:color w:val="auto"/>
        </w:rPr>
      </w:pPr>
    </w:p>
    <w:p>
      <w:pPr>
        <w:ind w:left="660" w:hanging="309"/>
        <w:spacing w:after="0"/>
        <w:tabs>
          <w:tab w:leader="none" w:pos="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nominees to the Board for election or re-election to the Board, or for appointment to fill any vacancy on the Board;</w:t>
      </w:r>
    </w:p>
    <w:p>
      <w:pPr>
        <w:spacing w:after="0" w:line="228" w:lineRule="exact"/>
        <w:rPr>
          <w:rFonts w:ascii="Times New Roman" w:cs="Times New Roman" w:eastAsia="Times New Roman" w:hAnsi="Times New Roman"/>
          <w:sz w:val="17"/>
          <w:szCs w:val="17"/>
          <w:color w:val="auto"/>
        </w:rPr>
      </w:pPr>
    </w:p>
    <w:p>
      <w:pPr>
        <w:ind w:left="660" w:hanging="309"/>
        <w:spacing w:after="0" w:line="27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 to characteristics such as independence, knowledge, skills, experience, expertise, diversity and availability of service to us;</w:t>
      </w:r>
    </w:p>
    <w:p>
      <w:pPr>
        <w:spacing w:after="0" w:line="163" w:lineRule="exact"/>
        <w:rPr>
          <w:rFonts w:ascii="Times New Roman" w:cs="Times New Roman" w:eastAsia="Times New Roman" w:hAnsi="Times New Roman"/>
          <w:sz w:val="18"/>
          <w:szCs w:val="18"/>
          <w:color w:val="auto"/>
        </w:rPr>
      </w:pPr>
    </w:p>
    <w:p>
      <w:pPr>
        <w:jc w:val="both"/>
        <w:ind w:left="660" w:hanging="309"/>
        <w:spacing w:after="0" w:line="259"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rules, or otherwise considered desirable and appropriate;</w:t>
      </w:r>
    </w:p>
    <w:p>
      <w:pPr>
        <w:spacing w:after="0" w:line="17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 and</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to act honestly and in good faith with a view to our best interests.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directors must also exercise their powers only for a proper purpose. Our directors also owe to our company a duty to exercise the skill they actually possess and such care and diligence that a reasonable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The functions and powers of our Board include, among others, (i) convening shareholders’ annual and extraordinary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of our directors are appointed for a two-year term and may be re-appointed by the Board upon the term expiration. The current term of all of our directors, except for Mr. Joel A. Getz, will expire on May 20, 2024. The current term of Mr. Joel A. Getz will expire on December 27, 2024. A director’s office shall be vacated if, among other things, the director (i) resigns his office by notice in writing to the Company; (ii) dies, becomes bankrupt or makes any arrangement or composition with his creditors; (iii) is found to be or becomes of unsound mind; (iv) is prohibited by law from being a director; or (v) is removed from office pursuant to our sixth amended and restated articles of association.</w:t>
      </w:r>
    </w:p>
    <w:p>
      <w:pPr>
        <w:spacing w:after="0" w:line="18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6.D.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endeavor to cultivate employees with talent, passion, and strong learning abilities.</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10,555 full-time employees and 16,411 part-time employees as of December 31, 2021, 14,559 full-time employees and 19,045 part-time employees as of December 31, 2022, and 29,217 full-time employees and 45,373 part-time employees as of December 31, 2023, all of whom were based in China. As of December 31, 2023, our full-time employees consisted of 26,616 store operation employees, 791 store development employees, 569 technology development employees, 1,089 general and administration employees and 152 sales and marketing employees.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formulate our recruitment plan considering our expansion plan and the human resources needs for existing self-operated stores and those in the pipeline. Our full-time employees go through a thorough recruitment and assessment process with HR and the operations manager while our part-time employees are usually interviewed by store managers of the respective stores. Our retail partners will be responsible for recruitment for the partnership stores.</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our employees, retail partners and employees at partnership stores with comprehensive training. We train them vigorously mainly through our internal training center, offering them both self-developed programs and external courses. We provide both online and offline training for our storefront staff to sharpen their skills.</w:t>
      </w:r>
    </w:p>
    <w:p>
      <w:pPr>
        <w:spacing w:after="0" w:line="1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enter into standard employment contracts with our full-time employees. In addition to salaries and benefits, we provide performance-based bonuses for our full-time employees and commission-based compensation for our sales and marketing team. As required by PRC law, we participate in various employee social security plans that are organized by municipal and provincial governments for our PRC-based full-time employees, including pension, medical insurance, maternity insurance, work-related injury insurance, unemployment insurance and housing provident funds.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pay salaries to our part-time employees based on the time they work. For risks in relation to our contribution for employee social security plans, see “Item 3. Key Information—3.D. Risk Factors—Risks Relating to Doing Business in China—We may be subject to additional contributions of social insurance and housing fund and late payments and fines imposed by relevant governmental authorities.”</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engage independent third-party service providers to recruit some outsourced staff. As of December 31, 2023, a majority of our part-time storefront staff were such outsourced staff.</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a good working relationship with our employees, and as of the date of this annual report, we had not experienced any material labor disputes.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6.E.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Shares as of March 31, 2024, assuming conversion of all of our outstanding Class B Ordinary Shares and Senior Preferred Shares into Class A Ordinary Shares on a one-to-one basis, by:</w:t>
      </w:r>
    </w:p>
    <w:p>
      <w:pPr>
        <w:spacing w:after="0" w:line="178" w:lineRule="exact"/>
        <w:rPr>
          <w:sz w:val="20"/>
          <w:szCs w:val="20"/>
          <w:color w:val="auto"/>
        </w:rPr>
      </w:pPr>
    </w:p>
    <w:p>
      <w:pPr>
        <w:ind w:left="660" w:hanging="309"/>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Shares.</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calculations in the table below are based on, (i) 2,101,799,932 issued and outstanding Class A Ordinary Shares, which is calculated by 2,105,588,028 Class A Ordinary Shares on our ROM as of March 31, 2024 excluding a total of 3,788,096 Class A Ordinary Shares that represent Class A Ordinary Shares underlying share awards under our share incentive plans that are issued but deemed to be not outstanding as of March 31, 2024, (ii) 144,778,552 outstanding Class B Ordinary Shares as of March 31, 2024, and/or (iii) 295,384,619 outstanding Senior Preferred Shares as of March 31, 2024.</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shares, however, are not included in the computation of the percentage ownership of any other person.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8"/>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rPr>
              <w:t>Shares Beneficially Owned as of March 31, 2024</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6"/>
        </w:trPr>
        <w:tc>
          <w:tcPr>
            <w:tcW w:w="2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Class B</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3"/>
        </w:trPr>
        <w:tc>
          <w:tcPr>
            <w:tcW w:w="2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38"/>
              <w:spacing w:after="0" w:line="133"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total Shares, as</w:t>
            </w: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total Class A</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total Class B</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of total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58"/>
              <w:spacing w:after="0" w:line="133" w:lineRule="exact"/>
              <w:rPr>
                <w:sz w:val="20"/>
                <w:szCs w:val="20"/>
                <w:color w:val="auto"/>
              </w:rPr>
            </w:pPr>
            <w:r>
              <w:rPr>
                <w:rFonts w:ascii="Times New Roman" w:cs="Times New Roman" w:eastAsia="Times New Roman" w:hAnsi="Times New Roman"/>
                <w:sz w:val="12"/>
                <w:szCs w:val="12"/>
                <w:b w:val="1"/>
                <w:bCs w:val="1"/>
                <w:color w:val="auto"/>
              </w:rPr>
              <w:t>converted</w:t>
            </w: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of aggregate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Senior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one-to-one into a</w:t>
            </w: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voting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10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60" w:type="dxa"/>
            <w:vAlign w:val="bottom"/>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Preferred 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single class</w:t>
            </w:r>
          </w:p>
        </w:tc>
        <w:tc>
          <w:tcPr>
            <w:tcW w:w="14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power***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210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Dr. Jinyi Guo</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25,416,160</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0.7</w:t>
            </w:r>
          </w:p>
        </w:tc>
        <w:tc>
          <w:tcPr>
            <w:tcW w:w="1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Wenbao Cao</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Feng Liu</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Yang Cha</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Sean Shao</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Shaoqiang (Gary) Liu</w:t>
            </w:r>
          </w:p>
        </w:tc>
        <w:tc>
          <w:tcPr>
            <w:tcW w:w="9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Qianli Liu</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Weihao (Michael) Chen</w:t>
            </w:r>
          </w:p>
        </w:tc>
        <w:tc>
          <w:tcPr>
            <w:tcW w:w="9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Jun Liu</w:t>
            </w:r>
          </w:p>
        </w:tc>
        <w:tc>
          <w:tcPr>
            <w:tcW w:w="9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Joel A. Getz</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Jing An</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Fei Yang</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Shan Jiang</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Weiming Zhou</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Tian Zang</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4"/>
        </w:trPr>
        <w:tc>
          <w:tcPr>
            <w:tcW w:w="21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All directors and executive officers as a</w:t>
            </w: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5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group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62,344,592</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Principal Shareholders: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2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Centurium Capital</w:t>
            </w:r>
            <w:r>
              <w:rPr>
                <w:rFonts w:ascii="Times New Roman" w:cs="Times New Roman" w:eastAsia="Times New Roman" w:hAnsi="Times New Roman"/>
                <w:sz w:val="15"/>
                <w:szCs w:val="15"/>
                <w:color w:val="auto"/>
                <w:vertAlign w:val="superscript"/>
              </w:rPr>
              <w:t>(1)</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383,425,748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180" w:type="dxa"/>
            <w:vAlign w:val="bottom"/>
            <w:shd w:val="clear" w:color="auto" w:fill="CCEEFF"/>
          </w:tcPr>
          <w:p>
            <w:pPr>
              <w:jc w:val="right"/>
              <w:ind w:right="18"/>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144,778,500</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295,384,615</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32.4</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55.3</w:t>
            </w:r>
          </w:p>
        </w:tc>
        <w:tc>
          <w:tcPr>
            <w:tcW w:w="1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r>
      <w:tr>
        <w:trPr>
          <w:trHeight w:val="245"/>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Joy Capital</w:t>
            </w:r>
            <w:r>
              <w:rPr>
                <w:rFonts w:ascii="Times New Roman" w:cs="Times New Roman" w:eastAsia="Times New Roman" w:hAnsi="Times New Roman"/>
                <w:sz w:val="18"/>
                <w:szCs w:val="18"/>
                <w:color w:val="auto"/>
                <w:vertAlign w:val="superscript"/>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119,543,188</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573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17" w:lineRule="exact"/>
        <w:rPr>
          <w:sz w:val="20"/>
          <w:szCs w:val="20"/>
          <w:color w:val="auto"/>
        </w:rPr>
      </w:pPr>
    </w:p>
    <w:p>
      <w:pPr>
        <w:ind w:left="320" w:hanging="313"/>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each class of our shares.</w:t>
      </w:r>
    </w:p>
    <w:p>
      <w:pPr>
        <w:spacing w:after="0" w:line="217" w:lineRule="exact"/>
        <w:rPr>
          <w:sz w:val="20"/>
          <w:szCs w:val="20"/>
          <w:color w:val="auto"/>
        </w:rPr>
      </w:pPr>
    </w:p>
    <w:p>
      <w:pPr>
        <w:jc w:val="both"/>
        <w:ind w:left="320" w:hanging="313"/>
        <w:spacing w:after="0" w:line="252" w:lineRule="auto"/>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 such person or group by the sum of (i) 2,101,799,932 Class A Ordinary Shares, or 144,778,552, being the number of Class B Ordinary Shares, or 295,384,619, being the number of Senior Preferred Shares, as appropriate, as of March 31, 2024 and (ii) the number of Ordinary Shares underlying share options and/or restricted share units held by such person or group that are exercisable or, for restricted share units, expected to vest within 60 days of March 31,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320" w:hanging="313"/>
        <w:spacing w:after="0" w:line="304" w:lineRule="auto"/>
        <w:tabs>
          <w:tab w:leader="none" w:pos="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of voting power is calculated by dividing the voting power beneficially owned by such person or group by the voting power of all of our Ordinary Shares and Senior Preferred Shares as a single class.</w:t>
      </w:r>
    </w:p>
    <w:p>
      <w:pPr>
        <w:spacing w:after="0" w:line="141" w:lineRule="exact"/>
        <w:rPr>
          <w:sz w:val="20"/>
          <w:szCs w:val="20"/>
          <w:color w:val="auto"/>
        </w:rPr>
      </w:pPr>
    </w:p>
    <w:p>
      <w:pPr>
        <w:jc w:val="both"/>
        <w:ind w:firstLine="7"/>
        <w:spacing w:after="0" w:line="247" w:lineRule="auto"/>
        <w:tabs>
          <w:tab w:leader="none" w:pos="2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155,675,675 Class A Ordinary Shares (including 20,625,056 Class A Ordinary Shares in the form of 2,578,132 ADSs) held by Camel ZQ Limited, an exempted company with limited liability incorporated under the laws of the Cayman Islands (“Camel ZQ”); (ii) 125,405,404 Class A Ordinary Shares held by Cameleer L.P., an exempted limited partnership incorporated under the laws of the Cayman Islands (“Cameleer”); (iii) 102,344,669 Class A Ordinary Shares held by Cameleer II L.P., an exempted limited partnership incorporated under the laws of the Cayman Islands (“Cameleer II”); (iv) 136,172,000 Class B Ordinary Shares held by Lucky Cup Holdings Limited, an exempted company incorporated with limited liability under the laws of the Cayman Islands and its principal business in investment holding (“Lucky Cup”); (v) 8,606,500 Class B Ordinary Shares held by Fortunate Cup Holdings Limited, an exempted company incorporated with limited liability under the laws of the Cayman Islands and its principal business in investment holding (“Fortunate Cup”); and (vi) 295,384,615 Senior Preferred Shares held by Cannonball Limited, an exempted company incorporated with limited liability under the laws of the Cayman Islands and its principal business in investment holding (“Cannonball”). As reported in the Schedule 13D (Amendment No.2) filed by Lucky Cup and other filers on March 11, 2022, Centurium Holdings Ltd. is an exempted company incorporated with limited liability under the laws of the Cayman Islands, which holds interests in the general partners of certain private equity funds that hold interests in Lucky Cup, Fortunate Cup and Cannonball; Hui Li is the sole shareholder and director of Centurium Holdings (BVI) Ltd., an exempted company incorporated under the laws of the British Virgin Islands and the sole shareholder of Centurium Holdings Ltd. Pursuant to Section 13(d) of the Securities Exchange Act of 1934, as amended, and the rules promulgated thereunder; each of Centurium Holdings Ltd., Centurium Holdings (BVI) Ltd. and Hui Li may be deemed to indirectly beneficially own the shares of the Issuer held by Camel ZQ, Cameleer, Cameleer II, Lucky Cup, Fortunate Cup and Cannonball. The address of the principal business and principal office of each of Camel ZQ, Cameleer, Cameleer II, Lucky Cup, Fortunate Cup and Cannonball is PO Box 309, Ugland House, Grand Cayman, KY1-1104, Cayman Islands.</w:t>
      </w:r>
    </w:p>
    <w:p>
      <w:pPr>
        <w:spacing w:after="0" w:line="192" w:lineRule="exact"/>
        <w:rPr>
          <w:rFonts w:ascii="Times New Roman" w:cs="Times New Roman" w:eastAsia="Times New Roman" w:hAnsi="Times New Roman"/>
          <w:sz w:val="18"/>
          <w:szCs w:val="18"/>
          <w:color w:val="auto"/>
        </w:rPr>
      </w:pPr>
    </w:p>
    <w:p>
      <w:pPr>
        <w:jc w:val="both"/>
        <w:ind w:firstLine="7"/>
        <w:spacing w:after="0" w:line="248" w:lineRule="auto"/>
        <w:tabs>
          <w:tab w:leader="none" w:pos="2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39,490,000 Class A Ordinary Shares (in form of 4,936,250 ADSs) beneficially owned by Joy Capital II, L.P. (“Joy II”), a Cayman Islands limited partnership; (ii) 32,341,000 Class A Ordinary Shares (in form of 4,042,625 ADSs) beneficially owned by Joy Luck Management Limited (“Joy Luck”), a Hong Kong company; (iii) 35,404,500 Class A ordinary shares (in form of 4,425,562 ADSs and 4 Class A Ordinary Shares) beneficially owned by Honour Ample Limited (“Honour”), a British Virgin Islands company; and (iv) 12,307,688 Class A Ordinary Shares (in form of 1,538,461 ADSs) and 4 Senior Preferred Shares held by Joy Soda Limited (“Soda”), a Hong Kong company. As reported in Schedule 13G filed by Joy II and other filers on February 14, 2023, Joy Capital GP, Ltd. is the general partner of Partner II, which is the general partner of Joy II. Joy Capital GP, Ltd. and Joy Capital II GP, L.P. (“Partner II”) may be deemed to have sole power to vote and sole power to dispose of our Shares directly owned by Joy II. Joy Capital GP, Ltd., Joy Luck, Honour and Soda are ultimately controlled by Mr. Erhai Liu (“Mr. Liu”). Mr. Liu disclaims beneficial ownership of shares held by Joy II, Joy Luck, Honour, and Soda, except to the extent of Mr. Liu’s pecuniary interest therein, if any. The registered address of each of Joy II, Partner II and Joy Capital GP, Ltd. is 4th Floor, Harbour Place, 103 South Church Street, P. O. Box 10240, Grand Cayman KY1-1002, Cayman Islands. The registered address of Honour is Craigmuir Chambers, Road Town, Tortola VG1110, British Virgin Islands. The registered address of each of Joy Luck and Soda is Room 2609, China Resources Building, 26 Harbour Road, Wanchai, Hong Kong.</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6.F.</w:t>
      </w:r>
      <w:r>
        <w:rPr>
          <w:sz w:val="20"/>
          <w:szCs w:val="20"/>
          <w:color w:val="auto"/>
        </w:rPr>
        <w:tab/>
      </w:r>
      <w:r>
        <w:rPr>
          <w:rFonts w:ascii="Times New Roman" w:cs="Times New Roman" w:eastAsia="Times New Roman" w:hAnsi="Times New Roman"/>
          <w:sz w:val="17"/>
          <w:szCs w:val="17"/>
          <w:b w:val="1"/>
          <w:bCs w:val="1"/>
          <w:color w:val="auto"/>
        </w:rPr>
        <w:t>Disclosure of a Registrant’s Action to Recover Erroneously Awarded Compensation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7.A.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Employees—6.E. Share Ownership.”</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15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“Item 4. Information on the Company—4.C. Organizational Structure—Former Contractual Arrangements with the Former VIE and Its Nominee Shareholders.”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2023, we received sales and marketing services and purchased property and equipment in the ordinary course of business from Goumei (Zhejiang) Information Technology Co., Ltd. And Shanghai Tianshu Zhixin Semiconductor Co., Ltd., entities in which our controlling shareholder Centurium Capital has significant influence. The transaction amounts for such sales and marketing expenses and purchases of property and equipment were RMB48.3 million (US$6.8 million) and RMB33.9 million (US$4.8 milllion), respectively, in 2023.</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7.C.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8.A.</w:t>
      </w:r>
      <w:r>
        <w:rPr>
          <w:sz w:val="20"/>
          <w:szCs w:val="20"/>
          <w:color w:val="auto"/>
        </w:rPr>
        <w:tab/>
      </w:r>
      <w:r>
        <w:rPr>
          <w:rFonts w:ascii="Times New Roman" w:cs="Times New Roman" w:eastAsia="Times New Roman" w:hAnsi="Times New Roman"/>
          <w:sz w:val="17"/>
          <w:szCs w:val="17"/>
          <w:b w:val="1"/>
          <w:bCs w:val="1"/>
          <w:color w:val="auto"/>
        </w:rPr>
        <w:t>Consolidated Statements and Other Financial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From time to time, we are subject to legal and administrative proceedings and claims arising in the ordinary course of our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and Regulatory Inquiries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Investigation and Settlement</w:t>
      </w:r>
    </w:p>
    <w:p>
      <w:pPr>
        <w:spacing w:after="0" w:line="21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self-disclosed to the SEC the Fabricated Transactions referenced in our press release on April 2, 2020. Following our disclosure, the SEC initiated an investigation into the Fabricated Transactions. We cooperated with the SEC’s investigation.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December 16, 2020, the SEC announced its settlement with us regarding the Fabricated Transactions. Under the terms of the settlement, we, without admitting or denying the allegations of the SEC, consented to the entry of an order (i) requiring us to pay a civil money penalty in the amount of US$180 million to the SEC, eligible for offset by any cash payments made by us to our security holders pursuant to any schemes of arrangement approved by the Cayman Court in the provisional liquidation proceedings and restructuring, and</w:t>
      </w:r>
    </w:p>
    <w:p>
      <w:pPr>
        <w:spacing w:after="0" w:line="1" w:lineRule="exact"/>
        <w:rPr>
          <w:sz w:val="20"/>
          <w:szCs w:val="20"/>
          <w:color w:val="auto"/>
        </w:rPr>
      </w:pPr>
    </w:p>
    <w:p>
      <w:pPr>
        <w:ind w:right="20" w:firstLine="7"/>
        <w:spacing w:after="0" w:line="251" w:lineRule="auto"/>
        <w:tabs>
          <w:tab w:leader="none" w:pos="2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permanently enjoining us from violations of certain federal securities laws, including Section 10(b) of the Securities Exchange Act of 1934.</w:t>
      </w:r>
    </w:p>
    <w:p>
      <w:pPr>
        <w:spacing w:after="0" w:line="1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settling this matter, the SEC acknowledged that we self-reported the Fabricated Transactions to the SEC staff, cooperated with the SEC throughout the SEC’s investigation and promptly undertook significant remedial efforts. These efforts included initiating an internal investigation, terminating certain personnel, terminating relationships with third parties involved in the fraudulent conduct, reorganizing our finance department and adding internal accounting controls.</w:t>
      </w:r>
    </w:p>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4, 2021, the settlement received the necessary approval from the SDNY Court. On February 3, 2022, the SEC filed with the SDNY Court a notice acknowledging that Luckin Coffee’s obligation to pay the civil money penalty had been satisfied through the offset of cash payments made to its holders of its debt securities, through a scheme of arrangement implemented in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DOJ Investigation</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were contacted by the U.S. Attorney’s Office for the Southern District of New York (the “SDNY”) following our press release on April 2, 2020 relating to the Fabricated Transactions. The SDNY indicated that it had commenced an investigation into the Fabricated Transactions. We have apprised the SDNY of the relevant Chinese laws that restrict us from providing evidence and information without prior approval from the Chinese Ministry of Justice. We are committed to cooperating with the DOJ to the extent permissible under the applicable laws of the PRC. We cannot predict the outcome or the duration of this investigation or any other legal proceedings or any enforcement actions or other remedies that may be imposed on us arising out of this investigation.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SAMR Penalties</w:t>
      </w:r>
    </w:p>
    <w:p>
      <w:pPr>
        <w:spacing w:after="0" w:line="21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On September 23, 2020, we received the penalty decisions from the SAMR. The penalty decisions found that our conduct related to the Fabricated Transactions violated the PRC Anti-Unfair Competition Laws. The SAMR imposed an aggregate fine of RMB61.0 million on two entities of our group and certain implicated third-party companies as a result of their involvement in the Fabricated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Ministry of Finance Investigation</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6, 2020, the Ministry of Finance of the PRC initiated its investigation into the accounting information of two entities of our group since their incorporation. On July 31, 2020, the Ministry of Finance of the PRC announced its investigation has been substantially completed. The Ministry of Finance of the PRC further announced that it would impose and publish its relevant penalty decision to the Company in due course. As of the date of this annual report, the Ministry of Finance of the PRC has not imposed any penalty on the Company. The Company cannot predict the outcome or the duration of this investigation or any other legal proceedings or any enforcement actions or other remedies that may be imposed on the Company arising out of this investigation.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under the caption </w:t>
      </w:r>
      <w:r>
        <w:rPr>
          <w:rFonts w:ascii="Times New Roman" w:cs="Times New Roman" w:eastAsia="Times New Roman" w:hAnsi="Times New Roman"/>
          <w:sz w:val="18"/>
          <w:szCs w:val="18"/>
          <w:i w:val="1"/>
          <w:iCs w:val="1"/>
          <w:color w:val="auto"/>
        </w:rPr>
        <w:t>In re Luckin Coffee Inc. Securities Litigation</w:t>
      </w:r>
      <w:r>
        <w:rPr>
          <w:rFonts w:ascii="Times New Roman" w:cs="Times New Roman" w:eastAsia="Times New Roman" w:hAnsi="Times New Roman"/>
          <w:sz w:val="18"/>
          <w:szCs w:val="18"/>
          <w:color w:val="auto"/>
        </w:rPr>
        <w:t>, 1:20-cv-01293 (S.D.N.Y.). On June 12, 2020, the court appointed co-lead plaintiffs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promulgated thereunder, and Sections 11 and 15 of the Securities Act.</w:t>
      </w:r>
    </w:p>
    <w:p>
      <w:pPr>
        <w:spacing w:after="0" w:line="1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18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8"/>
          <w:szCs w:val="18"/>
          <w:i w:val="1"/>
          <w:iCs w:val="1"/>
          <w:color w:val="auto"/>
        </w:rPr>
        <w:t>In re Luckin Coffee Inc. Securities Litigation</w:t>
      </w:r>
      <w:r>
        <w:rPr>
          <w:rFonts w:ascii="Times New Roman" w:cs="Times New Roman" w:eastAsia="Times New Roman" w:hAnsi="Times New Roman"/>
          <w:sz w:val="18"/>
          <w:szCs w:val="18"/>
          <w:color w:val="auto"/>
        </w:rPr>
        <w:t>, 651939/2020 (N.Y. Sup. Ct.). A consolidated amended complaint was filed on December 23, 2020, adding claims against investment vehicles owned by former officers and directors of the Company and the Company’s agent for service of process, Cogency Global Inc. The amended complaint also asserted claims under the Securities Act on behalf of a class of purchasers of the Notes.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“Opt Out” Claims</w:t>
      </w:r>
    </w:p>
    <w:p>
      <w:pPr>
        <w:spacing w:after="0" w:line="217"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color w:val="auto"/>
        </w:rPr>
        <w:t xml:space="preserve">The Company was also named as a defendant in the following opt-out lawsuits alleging violations of U.S. securities laws: </w:t>
      </w:r>
      <w:r>
        <w:rPr>
          <w:rFonts w:ascii="Times New Roman" w:cs="Times New Roman" w:eastAsia="Times New Roman" w:hAnsi="Times New Roman"/>
          <w:sz w:val="17"/>
          <w:szCs w:val="17"/>
          <w:i w:val="1"/>
          <w:iCs w:val="1"/>
          <w:color w:val="auto"/>
        </w:rPr>
        <w:t>Kingstown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 Management. v. Luckin Coffee</w:t>
      </w:r>
      <w:r>
        <w:rPr>
          <w:rFonts w:ascii="Times New Roman" w:cs="Times New Roman" w:eastAsia="Times New Roman" w:hAnsi="Times New Roman"/>
          <w:sz w:val="17"/>
          <w:szCs w:val="17"/>
          <w:color w:val="auto"/>
        </w:rPr>
        <w:t>, 1:20-cv-07029 (S.D.N.Y.);</w:t>
      </w:r>
      <w:r>
        <w:rPr>
          <w:rFonts w:ascii="Times New Roman" w:cs="Times New Roman" w:eastAsia="Times New Roman" w:hAnsi="Times New Roman"/>
          <w:sz w:val="17"/>
          <w:szCs w:val="17"/>
          <w:i w:val="1"/>
          <w:iCs w:val="1"/>
          <w:color w:val="auto"/>
        </w:rPr>
        <w:t xml:space="preserve"> Lai Ye v. Luckin Coffee et al.</w:t>
      </w:r>
      <w:r>
        <w:rPr>
          <w:rFonts w:ascii="Times New Roman" w:cs="Times New Roman" w:eastAsia="Times New Roman" w:hAnsi="Times New Roman"/>
          <w:sz w:val="17"/>
          <w:szCs w:val="17"/>
          <w:color w:val="auto"/>
        </w:rPr>
        <w:t>, 1:21-cv-2020 (S.D.N.Y.);</w:t>
      </w:r>
      <w:r>
        <w:rPr>
          <w:rFonts w:ascii="Times New Roman" w:cs="Times New Roman" w:eastAsia="Times New Roman" w:hAnsi="Times New Roman"/>
          <w:sz w:val="17"/>
          <w:szCs w:val="17"/>
          <w:i w:val="1"/>
          <w:iCs w:val="1"/>
          <w:color w:val="auto"/>
        </w:rPr>
        <w:t xml:space="preserve"> Nuveen Winslow Large-Cap Growth ESG Fund et al. v. Luckin Coffee et al.</w:t>
      </w:r>
      <w:r>
        <w:rPr>
          <w:rFonts w:ascii="Times New Roman" w:cs="Times New Roman" w:eastAsia="Times New Roman" w:hAnsi="Times New Roman"/>
          <w:sz w:val="17"/>
          <w:szCs w:val="17"/>
          <w:color w:val="auto"/>
        </w:rPr>
        <w:t>, 655177/2020 (N.Y. Sup. Ct.); and</w:t>
      </w:r>
      <w:r>
        <w:rPr>
          <w:rFonts w:ascii="Times New Roman" w:cs="Times New Roman" w:eastAsia="Times New Roman" w:hAnsi="Times New Roman"/>
          <w:sz w:val="17"/>
          <w:szCs w:val="17"/>
          <w:i w:val="1"/>
          <w:iCs w:val="1"/>
          <w:color w:val="auto"/>
        </w:rPr>
        <w:t xml:space="preserve"> Bequai v. Luckin Coffee</w:t>
      </w:r>
      <w:r>
        <w:rPr>
          <w:rFonts w:ascii="Times New Roman" w:cs="Times New Roman" w:eastAsia="Times New Roman" w:hAnsi="Times New Roman"/>
          <w:sz w:val="17"/>
          <w:szCs w:val="17"/>
          <w:color w:val="auto"/>
        </w:rPr>
        <w:t>, GV20019430-00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 D. Ct., Fairfax Cty.). As of the date of this annual report, all of the above lawsuits have been voluntarily dismissed by the plaintiffs.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Certain individuals and institutions claiming to have made investments related to the Company’s ADS have made informal demands for the Company to pay alleged losses resulting from the Fabricated Transactions disclosed on April 2, 2020. In the aggregate, the investors that have made informal demands have asserted losses in excess of US$325 million.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Company was a nominal defendant in a consolidated putative derivative action filed in the Supreme Court of the State of New York captioned </w:t>
      </w:r>
      <w:r>
        <w:rPr>
          <w:rFonts w:ascii="Times New Roman" w:cs="Times New Roman" w:eastAsia="Times New Roman" w:hAnsi="Times New Roman"/>
          <w:sz w:val="18"/>
          <w:szCs w:val="18"/>
          <w:i w:val="1"/>
          <w:iCs w:val="1"/>
          <w:color w:val="auto"/>
        </w:rPr>
        <w:t>In re Luckin Coffee Inc.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Derivative Litigation</w:t>
      </w:r>
      <w:r>
        <w:rPr>
          <w:rFonts w:ascii="Times New Roman" w:cs="Times New Roman" w:eastAsia="Times New Roman" w:hAnsi="Times New Roman"/>
          <w:sz w:val="18"/>
          <w:szCs w:val="18"/>
          <w:color w:val="auto"/>
        </w:rPr>
        <w:t>, 652800/2020 (N.Y. Sup. Ct.). The Federal Class Settlement includes releases of derivative claims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Federal Class. On November 8, 2022, the parties filed a stipulation of discontinuance with prejudice to conclude the derivative litigation, which the court so-ordered on November 9,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Class Action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or about April 14, 2020, an Application for Authorization to Bring a Class Action was filed against Luckin Coffee Inc. by Martin Banoon (the “Applicant”) in the Superior Court of Quebec, file no. 500-06-001058-201. The Applicant sought authorization to institute a class action on behalf of the proposed class members comprised of holders of the Company’s ADS, as a result of Fabricated Transactions. On August 9, 2022, the Superior Court of Quebec entered judgment approving the Applicant’s request to discontinue the proceeding.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Bondholder Action</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May 2020, a group of holders of the Notes commenced proceedings in the Cayman Court seeking to recover approximately US$155 million of losses from the Company. By summons dated May 1, 2020, the bondholders applied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for a worldwide freezing order (the “WFO”) against the Company. On May 8, 2020, the Cayman Court granted the order sought. On July 1, 2020 to July 3, 2020 the Cayman Court heard the Company’s application to set aside the WFO. By order dated July 22, 2020, the Cayman Court discharged the WFO. The substantive proceedings were automatically stayed on the appointment of the JPLs on July 15, 2020. On August 12, 2020, the Cayman Court ordered that the noteholders could appeal the discharge order until 14 days following the date of discharge of the JPLs. However, there can be no further action in these proceedings as the indebtedness under the Notes has been effectively compromised due to the successful Restructuring as of January 28, 2022. In July 2022, these proceedings were discontinued by a consent order issued by the Cayman Court upon parties’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“Light-Touch” JPLs in the Cayman Islands</w:t>
      </w:r>
    </w:p>
    <w:p>
      <w:pPr>
        <w:spacing w:after="0" w:line="17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On July 10, 2020, a creditor of the Company filed a winding up petition against the Company in the Cayman Proceeding. On July 10, 2020, the Company made an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application pursuant to section 104(3) of the Companies Act for the appointment of the JPLs. On July 15, 2020, the Cayman Court appointed Alexander Lawson of Alvarez &amp; Marsal Cayman Islands Limited and Wing Sze Tiffany Wong of Alvarez &amp; Marsal Asia Limited to act as “light-touch” JPLs to develop and propose a restructuring of the Company’s indebtedness in a manner designed to allow the Company to continue as a going concern, with a view to making an arrangement with its creditors including (without limitation) a compromise or arrangement by way of a Scheme under section 86 of the Companies Act. In accordance with the appointment order, the Board’s powers to conduct the ordinary, day-to-day business of the Company were preserved, subject to the supervision and oversight of the JPLs. On October 12, 2020, pursuant to a letter of request issued by the Cayman Court dated September 7, 2020, the High Court of Hong Kong made an order recognizing the appointment of the JPLs in Hong Kong. On February 5, 2021, the JPLs, in their capacity as “foreign representatives” of the Company under the U.S. Bankruptcy Code, filed a petition seeking, among other things, recognition of the provisional liquidation in the United States. On March 30, 2021, the U.S. Bankruptcy Court entered the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Recognizing Cayman Proceeding as a Foreign Main Proceeding and Granting Relief in Aid Thereof </w:t>
      </w:r>
      <w:r>
        <w:rPr>
          <w:rFonts w:ascii="Times New Roman" w:cs="Times New Roman" w:eastAsia="Times New Roman" w:hAnsi="Times New Roman"/>
          <w:sz w:val="18"/>
          <w:szCs w:val="18"/>
          <w:color w:val="auto"/>
        </w:rPr>
        <w:t>[Dkt. No. 48] in</w:t>
      </w:r>
      <w:r>
        <w:rPr>
          <w:rFonts w:ascii="Times New Roman" w:cs="Times New Roman" w:eastAsia="Times New Roman" w:hAnsi="Times New Roman"/>
          <w:sz w:val="18"/>
          <w:szCs w:val="18"/>
          <w:i w:val="1"/>
          <w:iCs w:val="1"/>
          <w:color w:val="auto"/>
        </w:rPr>
        <w:t xml:space="preserve"> In re Luckin Coffee Inc. (in Provisional Liquidation)</w:t>
      </w:r>
      <w:r>
        <w:rPr>
          <w:rFonts w:ascii="Times New Roman" w:cs="Times New Roman" w:eastAsia="Times New Roman" w:hAnsi="Times New Roman"/>
          <w:sz w:val="18"/>
          <w:szCs w:val="18"/>
          <w:color w:val="auto"/>
        </w:rPr>
        <w:t>, No. 21-10228 (MG) (Bankr. S.D.N.Y. Feb. 5, 2021), recognising the provisional liquidation as a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 proceeding.” The U.S. Bankruptcy Court imposed an automatic stay of all actions against the Company and its assets in the U.S., to the extent provided in the U.S. Bankruptcy Code and for the duration of the Chapter 15 Case, subject to certain carve outs and reserving judgment in respect of a requested stay of proceedings against non-debtor parties.</w:t>
      </w:r>
    </w:p>
    <w:p>
      <w:pPr>
        <w:spacing w:after="0" w:line="15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September 20, 2021, with the support of the JPLs, we filed a summons and petition in the Cayman Court (proceeding number FSD 276 of 2021 (ASCJ)) seeking sanction of a Scheme for the purposes of the Restructuring, and seeking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13, 2021 the Cayman Court sanctioned the Scheme, which became fully effective in accordance with its terms on December 17, 2021, following the entry of a final order of the U.S. Bankruptcy Court recognizing and enforcing the Scheme in the territorial jurisdiction of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On January 28, 2022, the Restructuring of the Notes contemplated by the Scheme became effective and was substantially consummated. In aggregate, we issued consideration for the Scheme totaling US$245.5 million of cash, US$109.9 million of New Notes and 9,527, 601 ADSs representing 76,220,808 Class A Ordinary Shares, which included 291,699 ADSs issued on April 4, 2022 pursuant to the top-up mechanism under the Scheme. The parties to the amended winding-up petition (filed in substitution on January 7, 2021), applied by consent to the Cayman Court for leave to withdraw or have the petition dismissed. By an order of the Cayman Court dated February 25, 2022, the petition was dismissed and the JPLs were formally discharged with effect from March 4, 2022, bringing the provisional liquidation to a close. Shortly thereafter, the U.S. Bankruptcy Court entered an order closing the Chapter 15 Case on April 8,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UCAR Inc. Proceedings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entered into an agreement with UCAR Inc. on July 1, 2020 to pay RMB36.6 million to UCAR Inc. for the costs UCAR Inc. incurred as a result of the leasehold improvements of certain office space that we occupied. In September 2021, UCAR Inc. initiated an arbitration proceeding against Luckin Group in China International Economic and Trade Arbitration Commission, seeking to recover its costs and other relevant expenses allegedly incurred of approximately RMB38.4 million. As of December 31, 2022, the arbitration proceeding was closed with the final judgment that we are obligated to pay approximately RMB 31.7 million for the leasehold improvement and related legal fees. We have made full payment and the ending balance of this liability was nil as of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Relating to Dividend Distributions.”</w:t>
      </w:r>
    </w:p>
    <w:p>
      <w:pPr>
        <w:spacing w:after="0" w:line="1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Board has discretion as to whether to distribute dividends, subject to certain requirements of Cayman Islands law. Under Cayman Islands law, a Cayman Islands company may pay a dividend out of either profit or credit standing in the share premium account, provided that in no circumstances may a dividend be paid if this would result in the company being unable to pay its debts as they fall due in the ordinary course of business. Even if our Board decides to pay dividends, the form, frequency and amount will depend upon our future operations and earnings, capital requirements and surplus, general financial condition, contractual restrictions and other factors that the Board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8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8.B.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Except as otherwise disclosed in this annual report, we have not experienced any significant changes since the date of the annual financial statements included herein.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9.A.</w:t>
      </w:r>
      <w:r>
        <w:rPr>
          <w:sz w:val="20"/>
          <w:szCs w:val="20"/>
          <w:color w:val="auto"/>
        </w:rPr>
        <w:tab/>
      </w:r>
      <w:r>
        <w:rPr>
          <w:rFonts w:ascii="Times New Roman" w:cs="Times New Roman" w:eastAsia="Times New Roman" w:hAnsi="Times New Roman"/>
          <w:sz w:val="17"/>
          <w:szCs w:val="17"/>
          <w:b w:val="1"/>
          <w:bCs w:val="1"/>
          <w:color w:val="auto"/>
        </w:rPr>
        <w:t>Offering and Listing Details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ADSs had been listed on the NASDAQ Global Select Market since May 17, 2019 under the symbol “LK.” Each ADS represents eight Class A Ordinary Shares, par value US$0.000002 per share.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Nasdaq suspended the trading of our ADSs on June 29, 2020.</w:t>
      </w:r>
    </w:p>
    <w:p>
      <w:pPr>
        <w:spacing w:after="0" w:line="1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ADSs representing our Class A Ordinary Shares had been listed on the NASDAQ Global Select Market since May 17, 2019 under the symbol “LK.” Our ADSs have been quoted on the OTC Pink Limited Information initially under the symbol “LKNCY” since the Nasdaq suspended the trading of our ADSs on June 29, 2020.</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9.F.</w:t>
      </w:r>
      <w:r>
        <w:rPr>
          <w:sz w:val="20"/>
          <w:szCs w:val="20"/>
          <w:color w:val="auto"/>
        </w:rPr>
        <w:tab/>
      </w:r>
      <w:r>
        <w:rPr>
          <w:rFonts w:ascii="Times New Roman" w:cs="Times New Roman" w:eastAsia="Times New Roman" w:hAnsi="Times New Roman"/>
          <w:sz w:val="17"/>
          <w:szCs w:val="17"/>
          <w:b w:val="1"/>
          <w:bCs w:val="1"/>
          <w:color w:val="auto"/>
        </w:rPr>
        <w:t>Expenses of the Issue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Additional Information</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as amended and restated from time to time, and the Companies Act and the common law of the Cayman Islands.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which is filed as Exhibit 1.1 to this annual report, was adopted by a special resolution of our shareholders on December 11, 2021, in substitution for and to the exclusion of our fifth amended and restated memorandum and articles of association. It became effective on December 11, 2021.</w:t>
      </w:r>
    </w:p>
    <w:p>
      <w:pPr>
        <w:spacing w:after="0" w:line="17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sixth amended and restated memorandum and articles of association and the Companies Act insofar as they relate to the material terms of our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registered office in the Cayman Islands is at the offices of Conyers Trust Company (Cayman) Limited, Cricket Square, Hutchins Drive, P.O. Box 2681, Grand Cayman, KY1-1111, Cayman Islands.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 to Clause 3 of our sixth amended and restated memorandum and articles of association,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authorized share capital is US$50,000 divided into 25,000,000,000 Ordinary Shares, with a par value of US$0.000002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comprising (i) 20,000,000,000 Class A Ordinary Shares with a par value of US$0.000002 each, and (ii) 5,000,000,000 Class B Ordinary Shares with a par value of US$0.000002 each. Further to a Certificate of Designation dated November 30, 2021, 307,692,307 authorised but unissued Class A Ordinary Shares with a par value of US$0.000002 each in the capital of the Company have been re-designated as 307,692,307 Senior Preferred Shares with a par value of US$0.000002 each. In January 2024, 12,307,688 Senior Preferred Shares were converted to 1,538,461 ADSs at the request of the holder of such Senior Preferred Shares pursuant to the Certificate of Designation. To consummate such conversion, 12,307,688 Senior Preferred Shares had been re-designated as 12,307,688 Class A Ordinary Shares. Holders of Ordinary Shares have the same rights except for voting and conversion rights. Holders of Senior Preferred Shares have the rights described below under “Certificate of Designation.” All of our issued and outstanding Ordinary Shares and Senior Preferred Shares are fully paid and nonassessable. Certificates representing the Ordinary Shares and Senior Preferred Shares are issued in registered form. We may not issue shares to bearer. Our shareholders who are non-residents of the Cayman Islands may freely hold and transfer their Ordinary Shares and Senior Preferred Shares subject to certain restriction described below under “Transfer of Shares.”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Subject to the Companies Act and the articles of association,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1"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subject to our sixth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the Companies Act. Our sixth amended and restated articles of association provide that dividends may be declared and paid out of our profits, realized or unrealized, or from any reserve set aside from profits which our Board determine is no longer needed. Dividends may also be declared and paid out of share premium account or any other fund or account which can be authorized for this purpose in accordance with the Companies Act.</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Class A Ordinary Shares and Class B Ordinary Shares shall, at all times, vote together as one class on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submitted to a vote by the members. Each Class A Ordinary Share shall be entitled to one vote on all matters subject to vote at general and special meetings of our company, and each Class B Ordinary Share shall be entitled to ten votes on all matters subject to vote at general and special meetings of our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sixth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Each general meeting, other than an annual general meeting, shall be an extraordinary general meeting. Shareholders’ annual general meetings and any other general meetings of our shareholders may be called by a majority of our Board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sixth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9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sixth amended and restated memorandum and articles of association.</w:t>
      </w:r>
    </w:p>
    <w:p>
      <w:pPr>
        <w:spacing w:after="0" w:line="16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Shares. </w:t>
      </w:r>
      <w:r>
        <w:rPr>
          <w:rFonts w:ascii="Times New Roman" w:cs="Times New Roman" w:eastAsia="Times New Roman" w:hAnsi="Times New Roman"/>
          <w:sz w:val="18"/>
          <w:szCs w:val="18"/>
          <w:color w:val="auto"/>
        </w:rPr>
        <w:t>Subject to the restrictions in our sixth amended and restated memorandum and articles of association,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may transfer all or any of his or her Ordinary Shares by an instrument of transfer in the usual or common form or any other form approved by our Board.</w:t>
      </w:r>
    </w:p>
    <w:p>
      <w:pPr>
        <w:spacing w:after="0" w:line="1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Board may, in its absolute discretion, and without giving any reason therefore, refuse to register a transfer of any Share(s), including where a purported transfer has been attempted in breach of the articles of association.</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Board may, in its absolute discretion, decline to register any transfer of any share that is not fully paid up or on which we have a lien. Our Board may also decline to register any purported transfer of any share unless:</w:t>
      </w:r>
    </w:p>
    <w:p>
      <w:pPr>
        <w:spacing w:after="0" w:line="163" w:lineRule="exact"/>
        <w:rPr>
          <w:sz w:val="20"/>
          <w:szCs w:val="20"/>
          <w:color w:val="auto"/>
        </w:rPr>
      </w:pPr>
    </w:p>
    <w:p>
      <w:pPr>
        <w:ind w:left="660" w:hanging="309"/>
        <w:spacing w:after="0" w:line="27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Board may reasonably require to show the right of the transferor to make the transfer;</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registration of transfers may be suspended and the register closed at such times and for such periods as our Board may from time to time determine, provided, however, that the registration of transfers shall not be suspended nor the register closed for more than thirty (30) days in any year.</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the Board refuses to register a transfer they shall, within two months after the date on which the instrument of transfer was lodged, send to each of the transferor and the transferee notice of such refusal.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Notwithstanding any other provision of the sixth amended and restated memorandum and articles of association, no shareholder may, without the Company’s prior written consent, transfer, or agree to transfer, any of such shareholder’s share(s) to a “Restricted Person,” which means (i) any former director, officer or member of management of the Company or any of its subsidiaries with respect to whom the Special Committee recommended resignation or removal from the Board in connection with such person’s conduct during the time when such person served on the Board or termination of employment, or whose employment was terminated by the Board, or any of their respective affiliates or associates or any legal person controlled by such person, and (ii) any other person (or any affiliate or associate thereof) with whom any person under the foregoing clause (i) (or any affiliate or associate thereof) has any agreement, arrangement or understanding, whether or not in writing, with respect to, or with whom such person is otherwise cooperating or collaborating with, for the purpose of (a) acquiring, holding, sharing, voting or disposing of securities of the Company or any financial interest in or deriving from the value of the securities of the Company, or (b) changing or influencing the control of the Company or in connection with or as a participant in any transaction having that purpose or effect, and no Restricted Person may, without the Company’s prior written consent, transfer, or agree to transfer, any share(s).</w:t>
      </w:r>
    </w:p>
    <w:p>
      <w:pPr>
        <w:spacing w:after="0" w:line="18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a shareholder of the Company purports to transfer to agrees to transfer any share(s) directly or indirectly to a Restricted Person without the prior written consent of the Company, or if a Restricted Person becomes the legal or beneficial owner of any share(s) after the date on which the sixth amended and restated memorandum and articles of association was adopted including pursuant to a direct or indirect transfer (any such share(s), “Restricted Shares”), then our directors may serve a notice on such shareholder in whose name the Restricted Shares are registered stating that such shareholder shall not, in relation to the Restricted Shares, be entitled to vote.</w:t>
      </w:r>
    </w:p>
    <w:p>
      <w:pPr>
        <w:spacing w:after="0" w:line="18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Liquidation. </w:t>
      </w:r>
      <w:r>
        <w:rPr>
          <w:rFonts w:ascii="Times New Roman" w:cs="Times New Roman" w:eastAsia="Times New Roman" w:hAnsi="Times New Roman"/>
          <w:sz w:val="17"/>
          <w:szCs w:val="17"/>
          <w:color w:val="auto"/>
        </w:rPr>
        <w:t>On a return of capital on winding up or otherwise (other than on conversion, redemption or purchase of Ordinary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the assets available for distribution amongst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nominal amount of the shares held by them respectively. Any distribution of assets or capital to a holder of Ordinary Shares will be the same in any liquidation event.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at our option or at the option of the holders thereof, on such terms and in such manner as may be determined, before the issue of such shares, by our Board. Our company may also repurchase any of our shares provided that the manner and terms of such purchase have been approved by our Board, or are otherwise authorized by our sixth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5"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any class or series of shares (unless otherwise provided by the terms of issue of the shares of that class or series) may be varied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7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w:t>
      </w:r>
    </w:p>
    <w:p>
      <w:pPr>
        <w:spacing w:after="0" w:line="17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sixth amended and restated memorandum of association authorizes our Board to issue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from time to time as our Board shall determine, to the extent of available authorized but unissued shares in the authorized share capital of our company.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Our sixth amended and restated memorandum of association also authorizes our Board to establish from time to time one or more series of preferred shares and to determine, with respect to any series of preferred shares, the terms and rights of that series, including:</w:t>
      </w:r>
    </w:p>
    <w:p>
      <w:pPr>
        <w:spacing w:after="0" w:line="163" w:lineRule="exact"/>
        <w:rPr>
          <w:sz w:val="20"/>
          <w:szCs w:val="20"/>
          <w:color w:val="auto"/>
        </w:rPr>
      </w:pPr>
    </w:p>
    <w:p>
      <w:pPr>
        <w:ind w:left="660" w:hanging="309"/>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voting rights;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Board may issue preferred shares without action by our shareholders to the extent authorized but unissued. Issuance of these shares may dilute the voting power of holders of Ordinary Shares.</w:t>
      </w:r>
    </w:p>
    <w:p>
      <w:pPr>
        <w:spacing w:after="0" w:line="15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sixth amended and restated memorandum and articles of association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 authorize our Board to issue preferred shares in one or more series and to designate the price, rights, preferences, privileges and restrictions of such preferred shares without any further vote or action by our shareholders.</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81" w:lineRule="exact"/>
        <w:rPr>
          <w:sz w:val="20"/>
          <w:szCs w:val="20"/>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15" w:lineRule="exact"/>
        <w:rPr>
          <w:sz w:val="20"/>
          <w:szCs w:val="20"/>
          <w:color w:val="auto"/>
        </w:rPr>
      </w:pPr>
    </w:p>
    <w:p>
      <w:pPr>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Senior Preferred Shares have the rights, preferences, privileges and restrictions set out in the Certificate of Designation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dated November 30, 2021 and approved by a resolution of our board of directors (the “Certificate of Designation”).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key terms of our Senior Preferred Shares:</w:t>
      </w:r>
    </w:p>
    <w:p>
      <w:pPr>
        <w:spacing w:after="0" w:line="21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Senior Preferred Shares shall, at all times, be entitled to vote with holders of Ordinary Shares as one class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matters submitted to vote by the members. Each holder of Senior Preferred Shares shall be entitled a number of votes equal to the number of Class A Ordinary Shares into which such holder’s Senior Preferred Shares are convertible.</w:t>
      </w:r>
    </w:p>
    <w:p>
      <w:pPr>
        <w:spacing w:after="0" w:line="170"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Reserved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written consent of the holders of a majority of the outstanding Senior Preferred Shares shall be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certain actions of the Company set forth in the Certificate of Designation.</w:t>
      </w:r>
    </w:p>
    <w:p>
      <w:pPr>
        <w:spacing w:after="0" w:line="156"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liquidation, dissolution or winding up of the Company, whether voluntary or involuntary,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Senior Preferred Shares, in preference to the holders of other Shares, shall be entitled to receive an amount equal to the greater of (i) 100% of the original aggregate subscription price paid by such holders plus declared but unpaid dividend on such Senior Preferred Shares and (ii) the aggregate value such holders would have received if all such outstanding Senior Preferred Shares had been converted into Class A Ordinary Shares immediately prior to such distribution.</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Senior Preferred Share shall be convertible, at any time at the option of its holder and at such holder’s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into that number of Class A Ordinary Shares (or an equivalent number of ADSs) determined by dividing (i) the sum of the original issue price plus any declared but unpaid dividends on such Senior Preferred Share, by (ii) the conversion price in effect at time of the conversion, which shall initially be the original issue price and is subject to adjustment from time to time.</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Downside Protection for Regulatory Events. </w:t>
      </w:r>
      <w:r>
        <w:rPr>
          <w:rFonts w:ascii="Times New Roman" w:cs="Times New Roman" w:eastAsia="Times New Roman" w:hAnsi="Times New Roman"/>
          <w:sz w:val="18"/>
          <w:szCs w:val="18"/>
          <w:color w:val="auto"/>
        </w:rPr>
        <w:t>With respect to each Senior Preferred Share, during the period from April 15, 2021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anniversary of its original issuance, if upon an announcement or reporting by any person of any U.S. governmental authority (other than the SEC) entering into an agreement with us, imposing penalty or restriction in connection with the previously disclosed Fabricated Transactions, the trading prices of our ADSs are negatively affected, as determined in accordance with the mechanisms set forth in the Certificate of Designation, the then applicable conversion price of such Senior Preferred Share shall be adjusted downward to reflect the impact of such event.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Harney Westwood &amp; Riegels, our Cayman Islands counsel. To the extent that the discussion relates to matters of PRC tax law, it represents the opinion of King &amp; Wood Mallesons, our PRC legal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it is otherwise not party to any double tax treaties that are applicable to any payments made to or by our company. There are no exchange control regulations or currency restrictions in the Cayman Islands.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Pursuant to the Tax Concessions Act of the Cayman Islands, the Company has obtained an undertaking: (i) that no law that is enacted in the Cayman Islands imposing any tax to be levied on profits, income, gains or appreciation shall apply to the Company or its operations; and (ii) that the aforesaid tax or any tax in the nature of estate duty or inheritance tax shall not be payable on or in respect of the shares, debentures or other obligations of the Company.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undertaking for the Company is for a period of 20 years from March 21, 2019.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the SAT Circular 82 issued by the SAT in April 2009 specifies that certain offshore incorporated enterprises controlled 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PRC enterprises or PRC enterprise groups will be classified as PRC resident enterprises if the following are located or resident in the PRC:</w:t>
      </w:r>
    </w:p>
    <w:p>
      <w:pPr>
        <w:spacing w:after="0" w:line="17" w:lineRule="exact"/>
        <w:rPr>
          <w:sz w:val="20"/>
          <w:szCs w:val="20"/>
          <w:color w:val="auto"/>
        </w:rPr>
      </w:pPr>
    </w:p>
    <w:p>
      <w:pPr>
        <w:jc w:val="both"/>
        <w:ind w:firstLine="7"/>
        <w:spacing w:after="0" w:line="246" w:lineRule="auto"/>
        <w:tabs>
          <w:tab w:leader="none" w:pos="2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the Company meets all of the conditions above or is a PRC resident enterprise for PRC tax purposes. For the same reasons, we believe our other offshore companies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it pays to its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the Company is deemed a PRC resident enterprise, dividends paid to its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owning and disposing of our ADSs or Class A Ordinary Shares, but this discussion does not purport to be a comprehensive description of all of the tax considerations that may be relevant to a particular person’s decision to own our ADSs or Class A Ordinary Shares.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80" w:lineRule="exact"/>
        <w:rPr>
          <w:sz w:val="20"/>
          <w:szCs w:val="20"/>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17" w:lineRule="exact"/>
        <w:rPr>
          <w:rFonts w:ascii="Times New Roman" w:cs="Times New Roman" w:eastAsia="Times New Roman" w:hAnsi="Times New Roman"/>
          <w:sz w:val="18"/>
          <w:szCs w:val="18"/>
          <w:color w:val="auto"/>
        </w:rPr>
      </w:pPr>
    </w:p>
    <w:p>
      <w:pPr>
        <w:ind w:left="660" w:right="20" w:hanging="309"/>
        <w:spacing w:after="0" w:line="274"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conversion transaction, integrated transaction or similar transaction;</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their ADSs or Class A Ordinary Shares in consideration for services or otherwise as compensation;</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vote or value; or</w:t>
      </w:r>
    </w:p>
    <w:p>
      <w:pPr>
        <w:spacing w:after="0" w:line="217"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in connection with a trade or business outside the United States.</w:t>
      </w:r>
    </w:p>
    <w:p>
      <w:pPr>
        <w:spacing w:after="0" w:line="21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partners in such partnerships should consult their tax advisers as to the particular U.S. federal income tax consequences of owning and disposing of ADSs or Class A Ordinary Shares.</w:t>
      </w:r>
    </w:p>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used herein, a “U.S. Holder” is a person eligible for Treaty benefits that is, for U.S. federal income tax purposes, a beneficial owner of ADSs or Class A Ordinary Shares and:</w:t>
      </w:r>
    </w:p>
    <w:p>
      <w:pPr>
        <w:spacing w:after="0" w:line="163" w:lineRule="exact"/>
        <w:rPr>
          <w:sz w:val="20"/>
          <w:szCs w:val="20"/>
          <w:color w:val="auto"/>
        </w:rPr>
      </w:pPr>
    </w:p>
    <w:p>
      <w:pPr>
        <w:ind w:left="660" w:hanging="309"/>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17" w:lineRule="exact"/>
        <w:rPr>
          <w:rFonts w:ascii="Times New Roman" w:cs="Times New Roman" w:eastAsia="Times New Roman" w:hAnsi="Times New Roman"/>
          <w:sz w:val="18"/>
          <w:szCs w:val="18"/>
          <w:color w:val="auto"/>
        </w:rPr>
      </w:pPr>
    </w:p>
    <w:p>
      <w:pPr>
        <w:ind w:left="660" w:hanging="309"/>
        <w:spacing w:after="0" w:line="27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3" w:lineRule="exact"/>
        <w:rPr>
          <w:rFonts w:ascii="Times New Roman" w:cs="Times New Roman" w:eastAsia="Times New Roman" w:hAnsi="Times New Roman"/>
          <w:sz w:val="18"/>
          <w:szCs w:val="18"/>
          <w:color w:val="auto"/>
        </w:rPr>
      </w:pPr>
    </w:p>
    <w:p>
      <w:pPr>
        <w:ind w:left="660" w:hanging="309"/>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discussion does not address any U.S. federal taxes (such as estate or gift taxes) other than income taxes, nor does it address any state, local or non-U.S. tax considerations. U.S. Holders should consult their tax advisers concerning the U.S. federal, state, local and non-U.S. tax consequences of owning and disposing of ADSs or Class A Ordinary Shares in their particular circumstances.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determination of our PFIC status is subject to certain uncertainties and is made by applying principles and methodologies that are in some circumstances unclear.</w:t>
      </w:r>
    </w:p>
    <w:p>
      <w:pPr>
        <w:spacing w:after="0" w:line="16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Because we hold a substantial amount of cash, our PFIC status for any taxable year may depend, in part, on the value of our goodwill and other intangible assets. The value of our goodwill and other intangible assets may be determined by averaging (on a quarterly basis) the excess of the sum of our market capitalization and liabilities over the value of our other assets. If the value of our goodwill for 2019 and 2020 is determined in such manner, based on the trading prices of our ADSs we believe that we were not a PFIC for our taxable years of 2019 and 2020. However, because our market capitalization declined significantly since the second quarter of 2020 and throughout 2020, there can be no assurance that the IRS will not assert that the true value of our goodwill for 2019 and the first quarter of 2020 is in fact lower. If the assertion of that position is successful, our PFIC status for our taxable years of 2019 and 2020 would depend on the asserted value of our goodwill and other intangible assets for those years.</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Based on the composition of our income and assets and the estimated value of our assets (including goodwill and other intangible assets), we believe that we were not a PFIC for our 2023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 as discussed above, 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retail partnership model. For these reasons, our PFIC status for any taxable year is uncertain.</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ADSs or Class A Ordinary Shares, we will generally continue to be treated as a PFIC with respect to the U.S. Holder for all succeeding years during which the U.S. Holder owns ADSs or Class A Ordinary Shares, even if we cease to meet the threshold requirements for PFIC status, unless a “deemed sale” election is filed and the U.S. Holder pays any applicable tax under the PFIC rules described below. U.S. Holders should consult their tax advisers regarding the advisability of making this election in their particular circumstances in the case that we are or were, but cease to be, a PFIC for any taxable year.</w:t>
      </w:r>
    </w:p>
    <w:p>
      <w:pPr>
        <w:spacing w:after="0" w:line="18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If we are a PFIC for any taxable year and any of our subsidiaries, VIEs (if any) or other companies in which we own or are treated as owning equity interests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will not receive the proceeds of those distributions or dispositions.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ADSs or Class A Ordinary Shares, gain recognized by the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such excess distributions will be subject to taxation in the same manner.</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Alternatively, if we were a PFIC and if the ADSs were “regularly traded” while they were listed on the Nasdaq, a U.S. Holder could make a mark-to-market election that would result in tax treatment different from the general tax treatment for PFICs described in the preceding paragraph with respect to its taxable year that ended before the taxable year in which our ADSs were delisted from the Nasdaq. U.S. Holders should note that the OTC Pink Limited Information system, on which the prices of our ADSs are currently quoted, is not a “qualified exchange” for purposes of the mark-to-market rules. Therefore, a mark-to-market treatment of the ADSs is not available for as long as the ADSs continue to be delisted from, or not regularly traded on, the Nasdaq or any other qualified stock exchange. U.S. Holders should note that a mark-to-market election cannot be made with respect to Lower-tier PFICs, if any, or with respect to our Class A Ordinary Shares.</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Class A Ordinary Shares, the U.S. Holder will generally be required to file annual reports with the IRS.</w:t>
      </w:r>
    </w:p>
    <w:p>
      <w:pPr>
        <w:spacing w:after="0" w:line="16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U.S. Holders should consult their tax advisers regarding the determination of whether we are a PFIC for any taxable year and the application of the PFIC rules to their ownership of ADSs or Class A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Distributions paid on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w:t>
      </w:r>
    </w:p>
    <w:p>
      <w:pPr>
        <w:spacing w:after="0" w:line="1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general, dividends paid by certain “qualified foreign corporations” to non-corporate persons may be taxed at a preferential rate, subject to applicable limitations. However, if a non-U.S. corporation is not entitled to the benefits of a comprehensive income tax treaty with the United States, dividends paid by such corporation will qualify for the preferential rate only with respect to stock that is “readily tradable on an established securities market in the United States.” There is no income tax treaty between the Cayman Islands and the United States. The IRS issued a notice in 2003, according to which common stock or American depositary shares in respect of such stock are considered readily tradable on a U.S. established securities market if they are listed on certain national U.S. securities exchanges specified in the notice, such as the Nasdaq. The IRS notice indicates that the IRS continues to consider whether, and under what conditions, the preferential rate may apply also to securities readily tradable on other securities trading platforms, such as trading over the counter. However, as of the date of this annual report no additional trading markets have been identified by the Treasury or the IRS as qualifying markets for these purposes. Therefore, because our ADSs were delisted from the Nasdaq, non-corporate U.S. Holders of our ADSs should expect that while the ADSs continue to be delisted from the Nasdaq or any other qualified national U.S. exchange, dividends will likely be reported to them by withholding agents as not qualifying for the preferential rates.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8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Dividends will be treated as foreign-source income for foreign tax credit purposes. As described in “Taxation—People’s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and the discussion below regarding certain Treasury regulations, PRC taxes withheld from dividend payments (at a rate not exceeding the applicable Treaty rate in the case of U.S. Holders that qualify for the benefits of the Treaty) generally will be creditable against a U.S. Holder’s U.S. federal income tax liability. The rules governing foreign tax credits are complex. For example, certain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However,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U.S. Holders should consult their tax advisers regarding the creditability of PRC taxes in their particular circumstances (including eligibility for Treaty benefits). In lieu of claiming a credit, a U.S. Holder may elect to deduct PRC taxes in computing its taxable income, subject to applicable limitations. An election to deduct foreign taxes instead of claiming foreign tax credits applies to all creditable foreign taxes paid or accrued in the taxable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U.S. Holder will generally recognize gain or loss on a sale or other taxable disposition of ADSs or Class A Ordinary Shares in an amount equal to the difference between the amount realized on the sale or other taxable disposition and the U.S. Holder’s tax basis in such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described in “Taxation—People’s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such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However, as discussed above,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Even if these Treasury regulations do not prohibit a U.S. Holder from claiming a foreign tax credit with respect to any PRC income tax on disposition gains, other limitations under the foreign tax credit rules may preclude a U.S. Holder from claiming a foreign tax credit, in whole or in part, with respect to such taxes. If a U.S. Holder is precluded from claiming a foreign tax credit with respect to any PRC income taxes on disposition gains, it is possible that such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general, payments of dividends and proceeds from the sale or other disposition of ADSs or Class A Ordinary Shares that are made within the United States or through certain U.S.-related financial intermediaries may be subject to information reporting and backup withholding, unless (i) the U.S. Holder is a corporation or other “exempt recipient” or (ii)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Class A Ordinary Shares or non-U.S. accounts through which ADSs or Class A Ordinary Shares are held. U.S. Holders should consult their tax advisers regarding their reporting obligations with respect to ADSs and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previously filed with the SEC a registration statement on Form F-1 (File Number 333-230977), as amended, to register our Class A Ordinary Shares in relation to our IPO, and a registration statement on Form F-1 (File Number 333-235836), as amended, to register our Class A Ordinary Shares in relation to our follow-on public offering. We also filed with the SEC a related registration statement on Form F-6 (File Number 333-230989) to register the ADSs representing our Class A Ordinary Shares.</w:t>
      </w:r>
    </w:p>
    <w:p>
      <w:pPr>
        <w:spacing w:after="0" w:line="18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1-800-SEC- 0330. The SEC also maintains a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10.I.</w:t>
      </w:r>
      <w:r>
        <w:rPr>
          <w:sz w:val="20"/>
          <w:szCs w:val="20"/>
          <w:color w:val="auto"/>
        </w:rPr>
        <w:tab/>
      </w:r>
      <w:r>
        <w:rPr>
          <w:rFonts w:ascii="Times New Roman" w:cs="Times New Roman" w:eastAsia="Times New Roman" w:hAnsi="Times New Roman"/>
          <w:sz w:val="17"/>
          <w:szCs w:val="17"/>
          <w:b w:val="1"/>
          <w:bCs w:val="1"/>
          <w:color w:val="auto"/>
        </w:rPr>
        <w:t>Subsidiary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10.J.</w:t>
      </w:r>
      <w:r>
        <w:rPr>
          <w:sz w:val="20"/>
          <w:szCs w:val="20"/>
          <w:color w:val="auto"/>
        </w:rPr>
        <w:tab/>
      </w:r>
      <w:r>
        <w:rPr>
          <w:rFonts w:ascii="Times New Roman" w:cs="Times New Roman" w:eastAsia="Times New Roman" w:hAnsi="Times New Roman"/>
          <w:sz w:val="17"/>
          <w:szCs w:val="17"/>
          <w:b w:val="1"/>
          <w:bCs w:val="1"/>
          <w:color w:val="auto"/>
        </w:rPr>
        <w:t>Annual Report to Security Holders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Renminbi is not a freely convertible currency. SAFE, under the authority of the People’s Bank of China, controls the conversion of Renminbi into other currencies. The value of Renminbi is subject to changes in central government policies, international economic and political developments affecting supply and demand in the China Foreign Exchange Trading System market. Our cash and cash equivalents, restricted cash and term-deposits denominated in Renminbi amounted to RMB3,358.4 million, RMB3,248.8 million, and RMB3,555.5 million as of December 31, 2021, 2022, and 2023, respectively.</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Senior Preferred Shares, or ADSs, servicing our outstanding debt, or for other business purposes, appreciation of the U.S. dollar against the Renminbi would reduce the U.S. dollar amounts available to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convertibility risk</w:t>
      </w:r>
    </w:p>
    <w:p>
      <w:pPr>
        <w:spacing w:after="0" w:line="22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transact all of our business in Renminbi,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Renminbi may be readily convertible into U.S.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 to changes in market interest rates and have not used any derivative financial instruments to manage the interest risk exposure in 2021, 2022, and 2023.</w:t>
      </w:r>
    </w:p>
    <w:p>
      <w:pPr>
        <w:spacing w:after="0" w:line="17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1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12.C.</w:t>
      </w:r>
      <w:r>
        <w:rPr>
          <w:sz w:val="20"/>
          <w:szCs w:val="20"/>
          <w:color w:val="auto"/>
        </w:rPr>
        <w:tab/>
      </w:r>
      <w:r>
        <w:rPr>
          <w:rFonts w:ascii="Times New Roman" w:cs="Times New Roman" w:eastAsia="Times New Roman" w:hAnsi="Times New Roman"/>
          <w:sz w:val="17"/>
          <w:szCs w:val="17"/>
          <w:b w:val="1"/>
          <w:bCs w:val="1"/>
          <w:color w:val="auto"/>
        </w:rPr>
        <w:t>Other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5" w:lineRule="exact"/>
        <w:rPr>
          <w:sz w:val="20"/>
          <w:szCs w:val="20"/>
          <w:color w:val="auto"/>
        </w:rPr>
      </w:pPr>
    </w:p>
    <w:p>
      <w:pPr>
        <w:ind w:right="1820"/>
        <w:spacing w:after="0" w:line="257" w:lineRule="auto"/>
        <w:rPr>
          <w:sz w:val="20"/>
          <w:szCs w:val="20"/>
          <w:color w:val="auto"/>
        </w:rPr>
      </w:pPr>
      <w:r>
        <w:rPr>
          <w:rFonts w:ascii="Times New Roman" w:cs="Times New Roman" w:eastAsia="Times New Roman" w:hAnsi="Times New Roman"/>
          <w:sz w:val="17"/>
          <w:szCs w:val="17"/>
          <w:b w:val="1"/>
          <w:bCs w:val="1"/>
          <w:color w:val="auto"/>
        </w:rPr>
        <w:t>Persons depositing or withdrawing shares or ADS holders must pay:</w:t>
      </w:r>
    </w:p>
    <w:p>
      <w:pPr>
        <w:spacing w:after="0" w:line="2" w:lineRule="exact"/>
        <w:rPr>
          <w:sz w:val="20"/>
          <w:szCs w:val="20"/>
          <w:color w:val="auto"/>
        </w:rPr>
      </w:pPr>
    </w:p>
    <w:p>
      <w:pPr>
        <w:ind w:left="440" w:hanging="312"/>
        <w:spacing w:after="0"/>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US$5.00 (or less) per 100 ADSs (or portion of 100 ADSs)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2" w:lineRule="exact"/>
        <w:rPr>
          <w:rFonts w:ascii="Times New Roman" w:cs="Times New Roman" w:eastAsia="Times New Roman" w:hAnsi="Times New Roman"/>
          <w:sz w:val="17"/>
          <w:szCs w:val="17"/>
          <w:color w:val="auto"/>
        </w:rPr>
      </w:pPr>
    </w:p>
    <w:p>
      <w:pPr>
        <w:ind w:left="440" w:hanging="312"/>
        <w:spacing w:after="0"/>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US$.05 (or less) per ADS</w:t>
      </w:r>
    </w:p>
    <w:p>
      <w:pPr>
        <w:spacing w:after="0" w:line="202" w:lineRule="exact"/>
        <w:rPr>
          <w:rFonts w:ascii="Times New Roman" w:cs="Times New Roman" w:eastAsia="Times New Roman" w:hAnsi="Times New Roman"/>
          <w:sz w:val="17"/>
          <w:szCs w:val="17"/>
          <w:color w:val="auto"/>
        </w:rPr>
      </w:pPr>
    </w:p>
    <w:p>
      <w:pPr>
        <w:ind w:left="440" w:right="260" w:hanging="312"/>
        <w:spacing w:after="0" w:line="257" w:lineRule="auto"/>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fee equivalent to the fee that would be payable if securities distributed to you had been shares and the shares had been deposited for issuance of ADSs</w:t>
      </w:r>
    </w:p>
    <w:p>
      <w:pPr>
        <w:spacing w:after="0" w:line="167" w:lineRule="exact"/>
        <w:rPr>
          <w:rFonts w:ascii="Times New Roman" w:cs="Times New Roman" w:eastAsia="Times New Roman" w:hAnsi="Times New Roman"/>
          <w:sz w:val="17"/>
          <w:szCs w:val="17"/>
          <w:color w:val="auto"/>
        </w:rPr>
      </w:pPr>
    </w:p>
    <w:p>
      <w:pPr>
        <w:ind w:left="440" w:hanging="312"/>
        <w:spacing w:after="0"/>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US$.05 (or less) per ADS per calendar year</w:t>
      </w:r>
    </w:p>
    <w:p>
      <w:pPr>
        <w:spacing w:after="0" w:line="202" w:lineRule="exact"/>
        <w:rPr>
          <w:rFonts w:ascii="Times New Roman" w:cs="Times New Roman" w:eastAsia="Times New Roman" w:hAnsi="Times New Roman"/>
          <w:sz w:val="17"/>
          <w:szCs w:val="17"/>
          <w:color w:val="auto"/>
        </w:rPr>
      </w:pPr>
    </w:p>
    <w:p>
      <w:pPr>
        <w:ind w:left="440" w:hanging="312"/>
        <w:spacing w:after="0"/>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or transfer fees</w:t>
      </w: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ind w:left="440" w:hanging="312"/>
        <w:spacing w:after="0"/>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of the depositary</w:t>
      </w: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ind w:left="440" w:right="180" w:hanging="312"/>
        <w:spacing w:after="0" w:line="281" w:lineRule="auto"/>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and other governmental charges the depositary or the custodian has to pay on any ADSs or shares underlying ADSs, such as stock transfer taxes, stamp duty or withholding taxes</w:t>
      </w:r>
    </w:p>
    <w:p>
      <w:pPr>
        <w:spacing w:after="0" w:line="148" w:lineRule="exact"/>
        <w:rPr>
          <w:rFonts w:ascii="Times New Roman" w:cs="Times New Roman" w:eastAsia="Times New Roman" w:hAnsi="Times New Roman"/>
          <w:sz w:val="16"/>
          <w:szCs w:val="16"/>
          <w:color w:val="auto"/>
        </w:rPr>
      </w:pPr>
    </w:p>
    <w:p>
      <w:pPr>
        <w:ind w:left="440" w:hanging="312"/>
        <w:spacing w:after="0" w:line="270" w:lineRule="auto"/>
        <w:tabs>
          <w:tab w:leader="none" w:pos="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-2915285</wp:posOffset>
            </wp:positionV>
            <wp:extent cx="6293485" cy="1263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-2662555</wp:posOffset>
            </wp:positionV>
            <wp:extent cx="6293485" cy="1263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-2157730</wp:posOffset>
            </wp:positionV>
            <wp:extent cx="6293485" cy="1263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-1905635</wp:posOffset>
            </wp:positionV>
            <wp:extent cx="6293485" cy="1263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-1400810</wp:posOffset>
            </wp:positionV>
            <wp:extent cx="6293485" cy="1263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-1022350</wp:posOffset>
            </wp:positionV>
            <wp:extent cx="6293485" cy="1263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3485" cy="126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-769620</wp:posOffset>
            </wp:positionV>
            <wp:extent cx="6293485" cy="3784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3485" cy="3784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6293485" cy="2527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3485" cy="252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6293485" cy="260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3485"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26" w:lineRule="exact"/>
        <w:rPr>
          <w:sz w:val="20"/>
          <w:szCs w:val="20"/>
          <w:color w:val="auto"/>
        </w:rPr>
      </w:pPr>
    </w:p>
    <w:p>
      <w:pPr>
        <w:ind w:left="320" w:right="700" w:hanging="311"/>
        <w:spacing w:after="0" w:line="251" w:lineRule="auto"/>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ADSs, including issuances resulting from a distribution of shares or rights or other property</w:t>
      </w:r>
    </w:p>
    <w:p>
      <w:pPr>
        <w:spacing w:after="0" w:line="1" w:lineRule="exact"/>
        <w:rPr>
          <w:rFonts w:ascii="Times New Roman" w:cs="Times New Roman" w:eastAsia="Times New Roman" w:hAnsi="Times New Roman"/>
          <w:sz w:val="17"/>
          <w:szCs w:val="17"/>
          <w:color w:val="auto"/>
        </w:rPr>
      </w:pPr>
    </w:p>
    <w:p>
      <w:pPr>
        <w:ind w:left="320" w:right="40" w:hanging="311"/>
        <w:spacing w:after="0" w:line="248" w:lineRule="auto"/>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ADSs for the purpose of withdrawal, including if the deposit agreement terminates</w:t>
      </w:r>
    </w:p>
    <w:p>
      <w:pPr>
        <w:spacing w:after="0" w:line="174"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cash distribution to ADS holders</w:t>
      </w:r>
    </w:p>
    <w:p>
      <w:pPr>
        <w:spacing w:after="0" w:line="202" w:lineRule="exact"/>
        <w:rPr>
          <w:rFonts w:ascii="Times New Roman" w:cs="Times New Roman" w:eastAsia="Times New Roman" w:hAnsi="Times New Roman"/>
          <w:sz w:val="17"/>
          <w:szCs w:val="17"/>
          <w:color w:val="auto"/>
        </w:rPr>
      </w:pPr>
    </w:p>
    <w:p>
      <w:pPr>
        <w:ind w:left="320" w:right="80" w:hanging="311"/>
        <w:spacing w:after="0" w:line="257" w:lineRule="auto"/>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securities distributed to holders of deposited securities (including rights) that are distributed by the depositary to ADS holders</w:t>
      </w:r>
    </w:p>
    <w:p>
      <w:pPr>
        <w:spacing w:after="0" w:line="167"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Depositary services</w:t>
      </w:r>
    </w:p>
    <w:p>
      <w:pPr>
        <w:spacing w:after="0" w:line="202" w:lineRule="exact"/>
        <w:rPr>
          <w:rFonts w:ascii="Times New Roman" w:cs="Times New Roman" w:eastAsia="Times New Roman" w:hAnsi="Times New Roman"/>
          <w:sz w:val="17"/>
          <w:szCs w:val="17"/>
          <w:color w:val="auto"/>
        </w:rPr>
      </w:pPr>
    </w:p>
    <w:p>
      <w:pPr>
        <w:ind w:left="320" w:right="80" w:hanging="311"/>
        <w:spacing w:after="0" w:line="257" w:lineRule="auto"/>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and registration of shares on our share register to or from the name of the depositary or its agent when you deposit or withdraw shares</w:t>
      </w:r>
    </w:p>
    <w:p>
      <w:pPr>
        <w:spacing w:after="0" w:line="167" w:lineRule="exact"/>
        <w:rPr>
          <w:rFonts w:ascii="Times New Roman" w:cs="Times New Roman" w:eastAsia="Times New Roman" w:hAnsi="Times New Roman"/>
          <w:sz w:val="17"/>
          <w:szCs w:val="17"/>
          <w:color w:val="auto"/>
        </w:rPr>
      </w:pPr>
    </w:p>
    <w:p>
      <w:pPr>
        <w:ind w:left="320" w:right="340" w:hanging="311"/>
        <w:spacing w:after="0" w:line="255" w:lineRule="auto"/>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 (including SWIFT) and facsimile transmissions (when expressly provided in the deposit agreement)</w:t>
      </w:r>
    </w:p>
    <w:p>
      <w:pPr>
        <w:ind w:left="320" w:hanging="311"/>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Converting foreign currency to U.S. dollars</w:t>
      </w:r>
    </w:p>
    <w:p>
      <w:pPr>
        <w:spacing w:after="0" w:line="184"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necessary</w:t>
      </w: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necessary</w:t>
      </w:r>
    </w:p>
    <w:p>
      <w:pPr>
        <w:spacing w:after="0" w:line="417" w:lineRule="exact"/>
        <w:rPr>
          <w:sz w:val="20"/>
          <w:szCs w:val="20"/>
          <w:color w:val="auto"/>
        </w:rPr>
      </w:pPr>
    </w:p>
    <w:p>
      <w:pPr>
        <w:sectPr>
          <w:pgSz w:w="11900" w:h="16838" w:orient="portrait"/>
          <w:cols w:equalWidth="0" w:num="2">
            <w:col w:w="4820" w:space="360"/>
            <w:col w:w="4740"/>
          </w:cols>
          <w:pgMar w:left="980" w:top="506" w:right="999" w:bottom="1440" w:gutter="0" w:footer="0" w:header="0"/>
        </w:sect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adviser,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1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January 2020, we issued US$460 million of Notes. On July 15, 2020, on the application of the Company in response to the presentation of a winding-up petition by a creditor in the Cayman Islands, the Cayman Court appointed Alexander Lawson of Alvarez &amp; Marsal Cayman Islands Limited and Wing Sze Tiffany Wong of Alvarez &amp; Marsal Asia Limited to act as “light-touch” JPLs. Following this appointment, which constituted an event of default under the indenture with respect to the Notes, 100% of the principal of, and accrued and unpaid interest on, the Notes automatically became immediately due and payable. During the provisional liquidation, we negotiated the Restructuring under the supervision of the JPLs. On January 28, 2022, the Restructuring of the Notes as contemplated by the Scheme became effective and was substantially consummated. Subsequently, the parties to the amended winding 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with the Company’s support and coordination, the JPLs filed a final report with the U.S. Bankruptcy Court on March 4, 2022. The final report confirmed that the purpose of the JPLs’ appearance in the U.S. Bankruptcy Court was complete, and requested entry of an order closing the Chapter 15 Case. The U.S. Bankruptcy Court granted this relief and entered an order closing the Chapter 15 Case on April 8, 2022. For details, see “Item 4. Information on the Company—4.A. History and Development of the Company.”</w:t>
      </w:r>
    </w:p>
    <w:p>
      <w:pPr>
        <w:spacing w:after="0" w:line="1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14.A. — 14.D.</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upon this evaluation, our management has concluded that, as of December 31, 2023, our existing disclosure controls and procedures were effective.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consolidated financial statements in accordance with U.S. GAAP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w:t>
      </w:r>
    </w:p>
    <w:p>
      <w:pPr>
        <w:spacing w:after="0" w:line="4" w:lineRule="exact"/>
        <w:rPr>
          <w:sz w:val="20"/>
          <w:szCs w:val="20"/>
          <w:color w:val="auto"/>
        </w:rPr>
      </w:pPr>
    </w:p>
    <w:p>
      <w:pPr>
        <w:ind w:firstLine="7"/>
        <w:spacing w:after="0" w:line="251" w:lineRule="auto"/>
        <w:tabs>
          <w:tab w:leader="none" w:pos="3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 company’s assets that could have a material effect on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company’s internal control over financial reporting as of December 31, 2023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this evaluation, our management has concluded that the internal control over financial reporting as of December 31, 2023 was effective.</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 See “Item 3. Key Information—3.D. Risk Factors—Risks Relating to the Fabricated Transactions, Internal Investigation, Internal Controls, Offshore Restructuring and Related Matters—If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independent registered public accounting firm, BDO China Shu Lun Pan Certified Public Accountants LLP (“BDO”), has audited the effectiveness of our Company’s internal control over financial reporting as of December 31, 2023, as stated in its report, which appears on page F-4 of this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2023 that have materially affected, or that were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Board has determined that Mr. Feng Liu, an independent director and the chairman of our audit committee, qualifies as an “audit committee financial expert” within the meaning of the SEC rules. Mr. Feng Liu satisfies the “independence” requirements of Rule 10A-3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and ethics, as amended in April 2023, that applies to all of our directors, officers, employees, including certain provisions that specifically apply to our chief executive officer, chief financial officer, principal accounting officer or controller and any other persons who perform similar functions for us. We have filed our amended code of business conduct and ethics as Exhibit 11.1 of this annual report and posted a copy of our amended code of business conduct and ethics on our website at </w:t>
      </w:r>
      <w:r>
        <w:rPr>
          <w:rFonts w:ascii="Times New Roman" w:cs="Times New Roman" w:eastAsia="Times New Roman" w:hAnsi="Times New Roman"/>
          <w:sz w:val="18"/>
          <w:szCs w:val="18"/>
          <w:i w:val="1"/>
          <w:iCs w:val="1"/>
          <w:color w:val="auto"/>
        </w:rPr>
        <w:t>http://investor.lkcoffee.com/</w:t>
      </w:r>
      <w:r>
        <w:rPr>
          <w:rFonts w:ascii="Times New Roman" w:cs="Times New Roman" w:eastAsia="Times New Roman" w:hAnsi="Times New Roman"/>
          <w:sz w:val="18"/>
          <w:szCs w:val="18"/>
          <w:color w:val="auto"/>
        </w:rPr>
        <w:t>. We hereby undertake to provide to any person without charge a copy of our latest code of business conduct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within ten working days after we receive such person’s written request.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independent registered public accounting firm, namely BDO China Shu Lun Pan Certified Public Accountants LLP , for the years ended December 31, 2022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9"/>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05"/>
        </w:trPr>
        <w:tc>
          <w:tcPr>
            <w:tcW w:w="1000" w:type="dxa"/>
            <w:vAlign w:val="bottom"/>
          </w:tcPr>
          <w:p>
            <w:pPr>
              <w:spacing w:after="0"/>
              <w:rPr>
                <w:sz w:val="17"/>
                <w:szCs w:val="17"/>
                <w:color w:val="auto"/>
              </w:rPr>
            </w:pPr>
          </w:p>
        </w:tc>
        <w:tc>
          <w:tcPr>
            <w:tcW w:w="62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2"/>
        </w:trPr>
        <w:tc>
          <w:tcPr>
            <w:tcW w:w="1000" w:type="dxa"/>
            <w:vAlign w:val="bottom"/>
          </w:tcPr>
          <w:p>
            <w:pPr>
              <w:spacing w:after="0"/>
              <w:rPr>
                <w:sz w:val="18"/>
                <w:szCs w:val="18"/>
                <w:color w:val="auto"/>
              </w:rPr>
            </w:pPr>
          </w:p>
        </w:tc>
        <w:tc>
          <w:tcPr>
            <w:tcW w:w="626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4"/>
                <w:szCs w:val="24"/>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26,297</w:t>
            </w:r>
          </w:p>
        </w:tc>
      </w:tr>
      <w:tr>
        <w:trPr>
          <w:trHeight w:val="212"/>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4"/>
                <w:szCs w:val="24"/>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2"/>
        </w:trPr>
        <w:tc>
          <w:tcPr>
            <w:tcW w:w="1000" w:type="dxa"/>
            <w:vAlign w:val="bottom"/>
          </w:tcPr>
          <w:p>
            <w:pPr>
              <w:spacing w:after="0"/>
              <w:rPr>
                <w:sz w:val="18"/>
                <w:szCs w:val="18"/>
                <w:color w:val="auto"/>
              </w:rPr>
            </w:pPr>
          </w:p>
        </w:tc>
        <w:tc>
          <w:tcPr>
            <w:tcW w:w="6260" w:type="dxa"/>
            <w:vAlign w:val="bottom"/>
            <w:gridSpan w:val="2"/>
          </w:tcPr>
          <w:p>
            <w:pPr>
              <w:spacing w:after="0" w:line="212"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4"/>
                <w:szCs w:val="24"/>
                <w:color w:val="auto"/>
                <w:vertAlign w:val="superscript"/>
              </w:rPr>
              <w:t>(3)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4"/>
                <w:szCs w:val="24"/>
                <w:color w:val="auto"/>
                <w:vertAlign w:val="superscript"/>
              </w:rPr>
              <w:t>(4)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260" w:type="dxa"/>
            <w:vAlign w:val="bottom"/>
            <w:gridSpan w:val="3"/>
          </w:tcPr>
          <w:p>
            <w:pPr>
              <w:ind w:left="1000"/>
              <w:spacing w:after="0" w:line="205"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27,120</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27,203</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6"/>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2" w:lineRule="exact"/>
        <w:rPr>
          <w:sz w:val="20"/>
          <w:szCs w:val="20"/>
          <w:color w:val="auto"/>
        </w:rPr>
      </w:pPr>
    </w:p>
    <w:p>
      <w:pPr>
        <w:jc w:val="both"/>
        <w:ind w:left="320" w:hanging="313"/>
        <w:spacing w:after="0" w:line="261"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mean the aggregate fees billed for each of the fiscal periods listed for professional services rendered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for the audit of our annual consolidated financial statements and assistance with and review of documents filed with the SEC.</w:t>
      </w:r>
    </w:p>
    <w:p>
      <w:pPr>
        <w:spacing w:after="0" w:line="174" w:lineRule="exact"/>
        <w:rPr>
          <w:rFonts w:ascii="Times New Roman" w:cs="Times New Roman" w:eastAsia="Times New Roman" w:hAnsi="Times New Roman"/>
          <w:sz w:val="18"/>
          <w:szCs w:val="18"/>
          <w:color w:val="auto"/>
        </w:rPr>
      </w:pPr>
    </w:p>
    <w:p>
      <w:pPr>
        <w:ind w:left="320" w:right="20" w:hanging="313"/>
        <w:spacing w:after="0" w:line="274"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Audit-related fees mean the aggregate fees billed in each of the fiscal periods listed for professional services rendered by our principal auditors for the assurance and related services, which were not included under Audit Fees above.</w:t>
      </w:r>
    </w:p>
    <w:p>
      <w:pPr>
        <w:spacing w:after="0" w:line="163" w:lineRule="exact"/>
        <w:rPr>
          <w:rFonts w:ascii="Times New Roman" w:cs="Times New Roman" w:eastAsia="Times New Roman" w:hAnsi="Times New Roman"/>
          <w:sz w:val="18"/>
          <w:szCs w:val="18"/>
          <w:color w:val="auto"/>
        </w:rPr>
      </w:pPr>
    </w:p>
    <w:p>
      <w:pPr>
        <w:ind w:left="320" w:right="20" w:hanging="313"/>
        <w:spacing w:after="0" w:line="274"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Tax fees mean the aggregate fees billed in each of the fiscal periods listed for professional services related to tax compliance, tax advice, and tax planning.</w:t>
      </w:r>
    </w:p>
    <w:p>
      <w:pPr>
        <w:spacing w:after="0" w:line="163" w:lineRule="exact"/>
        <w:rPr>
          <w:rFonts w:ascii="Times New Roman" w:cs="Times New Roman" w:eastAsia="Times New Roman" w:hAnsi="Times New Roman"/>
          <w:sz w:val="18"/>
          <w:szCs w:val="18"/>
          <w:color w:val="auto"/>
        </w:rPr>
      </w:pPr>
    </w:p>
    <w:p>
      <w:pPr>
        <w:ind w:left="320" w:hanging="313"/>
        <w:spacing w:after="0" w:line="274"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All other fees mean the aggregate fees billed in each of the fiscal periods listed for services other than services reported in Notes (1) through (3).</w:t>
      </w:r>
    </w:p>
    <w:p>
      <w:pPr>
        <w:spacing w:after="0" w:line="16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auditors including BDO China Shu Lun Pan Certified Public Accountants LLP, our independent registered public accounting firm, including audit services and audit-related services as described above, other than those for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Neither we nor any “affiliated purchaser,” as defined in Rule 10b-18(a)(3) of the Exchange Act, purchased any of our equity securities during the period covered by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disclosure called for by paragraph (a) of this Item 16F was previously reported, as that term is defined in Rule 12b-2 under the Exchange Act, in “Item 16.F. Change in Registrant’s Certifying Accountant” of our annual report on Form 20-F for the fiscal year ended December 31, 2022 filed with the SEC on April 6,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Cayman Islands exempted company previously listed on the NASDAQ Global Select Market, we were subject to Nasdaq corporate governance listing standards.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are committed to upholding the highest standards of business ethics and conducting business in accordance with all applicable laws, rules and regulations. Our corporate governance policies are designed to protect the interests of our shareholders and promote responsible business practices and corporate citizenship. Our Code of Business Conduct and Ethics and other corporate governance documents are accessible on our website at </w:t>
      </w:r>
      <w:r>
        <w:rPr>
          <w:rFonts w:ascii="Times New Roman" w:cs="Times New Roman" w:eastAsia="Times New Roman" w:hAnsi="Times New Roman"/>
          <w:sz w:val="18"/>
          <w:szCs w:val="18"/>
          <w:i w:val="1"/>
          <w:iCs w:val="1"/>
          <w:color w:val="auto"/>
        </w:rPr>
        <w:t>https://investor.luckincoffee.com/corporate-governance/governance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At Luckin Coffee, cybersecurity risk management is an integral part of our overall enterprise risk management program. Our cybersecurity risk management program is designed to align with industry practices and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(i) assessing the severity of a cybersecurity threat, (ii) identifying the source of a cybersecurity threat (including whether the cybersecurity threat is associated with a third-party service provider), (iii) implementing cybersecurity countermeasures and mitigation strategies and (iv) informing management of material cybersecurity threats and incidents. Our cybersecurity team also engages third-party security experts for risk assessment and system enhancements. In addition, our cybersecurity team provides training annually.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has overall oversight responsibility for our risk management and delegates the daily supervision of cybersecurity issues to our chief executive officer, who is also the chairman of our Crisis Management Committee (as defined herein). The chairman of our Data Security Management Committee (as defined herein) reports material cybersecurity incidents to the Crisis Management Committee, and if needed, the chairman of our Crisis Management Committee will report the incident to our Board to take appropriate and timely measures in response to the incident.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 particular, we established our data security management committee (the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Committee</w:t>
      </w:r>
      <w:r>
        <w:rPr>
          <w:rFonts w:ascii="Times New Roman" w:cs="Times New Roman" w:eastAsia="Times New Roman" w:hAnsi="Times New Roman"/>
          <w:sz w:val="18"/>
          <w:szCs w:val="18"/>
          <w:color w:val="auto"/>
        </w:rPr>
        <w:t>”) in 2022, composed of personnel from our internal audit department, technology center, public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 legal department and public relations department, to improve data security. The Data Security Management Committee is responsible for developing data security and personal information protection strategies, plans, systems and specifications and providing necessary support, coordinating and making decisions on major data security incidents. Our cybersecurity programs are under the direction of our chairman of Data Security Management Committee who receives reports from our cybersecurity team and monitors the prevention, detection, mitigation, and remediation of cybersecurity incidents. Our chairman of Data Security Management Committee and other dedicated personnel are experienced information systems security professionals and information security managers with many years of experience. In addition, we established our crisis management committee (the “</w:t>
      </w:r>
      <w:r>
        <w:rPr>
          <w:rFonts w:ascii="Times New Roman" w:cs="Times New Roman" w:eastAsia="Times New Roman" w:hAnsi="Times New Roman"/>
          <w:sz w:val="18"/>
          <w:szCs w:val="18"/>
          <w:b w:val="1"/>
          <w:bCs w:val="1"/>
          <w:color w:val="auto"/>
        </w:rPr>
        <w:t>Crisis Management Committee</w:t>
      </w:r>
      <w:r>
        <w:rPr>
          <w:rFonts w:ascii="Times New Roman" w:cs="Times New Roman" w:eastAsia="Times New Roman" w:hAnsi="Times New Roman"/>
          <w:sz w:val="18"/>
          <w:szCs w:val="18"/>
          <w:color w:val="auto"/>
        </w:rPr>
        <w:t>”), chaired by our chief executive officer and composed of specialized working groups to manage and respond to crisis in our business operations, including cybersecurity crisis.</w:t>
      </w:r>
    </w:p>
    <w:p>
      <w:pPr>
        <w:spacing w:after="0" w:line="1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see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consolidated financial statements of Luckin Coffee Inc. are included at the end of this annual report.</w:t>
      </w: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7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5"/>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4"/>
                <w:szCs w:val="14"/>
                <w:color w:val="auto"/>
              </w:rPr>
            </w:pPr>
          </w:p>
        </w:tc>
        <w:tc>
          <w:tcPr>
            <w:tcW w:w="6300" w:type="dxa"/>
            <w:vAlign w:val="bottom"/>
            <w:tcBorders>
              <w:top w:val="single" w:sz="8" w:color="auto"/>
              <w:bottom w:val="single" w:sz="8" w:color="0000EE"/>
            </w:tcBorders>
            <w:gridSpan w:val="9"/>
          </w:tcPr>
          <w:p>
            <w:pPr>
              <w:spacing w:after="0" w:line="165" w:lineRule="exact"/>
              <w:rPr>
                <w:rFonts w:ascii="Times New Roman" w:cs="Times New Roman" w:eastAsia="Times New Roman" w:hAnsi="Times New Roman"/>
                <w:sz w:val="18"/>
                <w:szCs w:val="18"/>
                <w:color w:val="0000EE"/>
                <w:w w:val="97"/>
              </w:rPr>
            </w:pPr>
            <w:hyperlink r:id="rId202">
              <w:r>
                <w:rPr>
                  <w:rFonts w:ascii="Times New Roman" w:cs="Times New Roman" w:eastAsia="Times New Roman" w:hAnsi="Times New Roman"/>
                  <w:sz w:val="18"/>
                  <w:szCs w:val="18"/>
                  <w:color w:val="0000EE"/>
                  <w:w w:val="97"/>
                </w:rPr>
                <w:t>Sixth Amended and Restated Memorandum and Articles of Association of the Registrant</w:t>
              </w:r>
            </w:hyperlink>
          </w:p>
        </w:tc>
        <w:tc>
          <w:tcPr>
            <w:tcW w:w="2400" w:type="dxa"/>
            <w:vAlign w:val="bottom"/>
            <w:tcBorders>
              <w:top w:val="single" w:sz="8" w:color="auto"/>
            </w:tcBorders>
            <w:gridSpan w:val="17"/>
          </w:tcPr>
          <w:p>
            <w:pPr>
              <w:spacing w:after="0"/>
              <w:rPr>
                <w:sz w:val="14"/>
                <w:szCs w:val="14"/>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Specimen American Depositary Receipt (included in Exhibit 2.3)</w:t>
              </w:r>
            </w:hyperlink>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Registrant’s Specimen Certificate for Class A Ordinary Shares (incorporated herein by reference to Exhibit 4.2 to the</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40" w:type="dxa"/>
            <w:vAlign w:val="bottom"/>
            <w:tcBorders>
              <w:bottom w:val="single" w:sz="8" w:color="0000EE"/>
            </w:tcBorders>
            <w:gridSpan w:val="18"/>
          </w:tcPr>
          <w:p>
            <w:pPr>
              <w:spacing w:after="0" w:line="192"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registration statement on Form F-1 (File No. 333-230977), as amended, initially filed with the Securities and Exchange</w:t>
              </w:r>
            </w:hyperlink>
          </w:p>
        </w:tc>
        <w:tc>
          <w:tcPr>
            <w:tcW w:w="26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Commission on April 22, 2019)</w:t>
              </w:r>
            </w:hyperlink>
          </w:p>
        </w:tc>
        <w:tc>
          <w:tcPr>
            <w:tcW w:w="6440" w:type="dxa"/>
            <w:vAlign w:val="bottom"/>
            <w:gridSpan w:val="24"/>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Deposit Agreement, dated May 16, 2019, among the Registrant, the depositary and holders of the American Depositary</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6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Shares (incorporated herein by reference to Exhibit 4.3 to the registration statement on Form F-1 (File No. 333-230977),</w:t>
              </w:r>
            </w:hyperlink>
          </w:p>
        </w:tc>
        <w:tc>
          <w:tcPr>
            <w:tcW w:w="14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54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203">
              <w:r>
                <w:rPr>
                  <w:rFonts w:ascii="Times New Roman" w:cs="Times New Roman" w:eastAsia="Times New Roman" w:hAnsi="Times New Roman"/>
                  <w:sz w:val="18"/>
                  <w:szCs w:val="18"/>
                  <w:color w:val="0000EE"/>
                  <w:w w:val="97"/>
                </w:rPr>
                <w:t>as amended, initially filed with the Securities and Exchange Commission on April 22, 2019)</w:t>
              </w:r>
            </w:hyperlink>
          </w:p>
        </w:tc>
        <w:tc>
          <w:tcPr>
            <w:tcW w:w="2160" w:type="dxa"/>
            <w:vAlign w:val="bottom"/>
            <w:gridSpan w:val="16"/>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6"/>
                <w:szCs w:val="16"/>
                <w:color w:val="auto"/>
              </w:rPr>
            </w:pPr>
          </w:p>
        </w:tc>
        <w:tc>
          <w:tcPr>
            <w:tcW w:w="870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Description of Securities registered under Section 12 of the Exchange Act, (incorporated herein by reference to Exhibit 2.4</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2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to the annual report for the fiscal year ended December 31, 2019 filed with the Securities and Exchange Commission on</w:t>
              </w:r>
            </w:hyperlink>
          </w:p>
        </w:tc>
        <w:tc>
          <w:tcPr>
            <w:tcW w:w="180" w:type="dxa"/>
            <w:vAlign w:val="bottom"/>
            <w:gridSpan w:val="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7"/>
              </w:rPr>
            </w:pPr>
            <w:hyperlink r:id="rId205">
              <w:r>
                <w:rPr>
                  <w:rFonts w:ascii="Times New Roman" w:cs="Times New Roman" w:eastAsia="Times New Roman" w:hAnsi="Times New Roman"/>
                  <w:sz w:val="18"/>
                  <w:szCs w:val="18"/>
                  <w:color w:val="0000EE"/>
                  <w:w w:val="97"/>
                </w:rPr>
                <w:t>June 30, 2021)</w:t>
              </w:r>
            </w:hyperlink>
          </w:p>
        </w:tc>
        <w:tc>
          <w:tcPr>
            <w:tcW w:w="7640" w:type="dxa"/>
            <w:vAlign w:val="bottom"/>
            <w:gridSpan w:val="25"/>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6"/>
                <w:szCs w:val="16"/>
                <w:color w:val="auto"/>
              </w:rPr>
            </w:pPr>
          </w:p>
        </w:tc>
        <w:tc>
          <w:tcPr>
            <w:tcW w:w="856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2019 Share Option Plan (incorporated herein by reference to Exhibit 10.1 to the registration statement on Form F-1 (File</w:t>
              </w:r>
            </w:hyperlink>
          </w:p>
        </w:tc>
        <w:tc>
          <w:tcPr>
            <w:tcW w:w="14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No. 333-230977), as amended, initially filed with the Securities and Exchange Commission on April 22, 2019)</w:t>
              </w:r>
            </w:hyperlink>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6"/>
                <w:szCs w:val="16"/>
                <w:color w:val="auto"/>
              </w:rPr>
            </w:pPr>
          </w:p>
        </w:tc>
        <w:tc>
          <w:tcPr>
            <w:tcW w:w="856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2021 Equity Incentive Plan (incorporated herein by reference to Exhibit 99.1 to the Form 6-K (File No. 001-38896) filed</w:t>
              </w:r>
            </w:hyperlink>
          </w:p>
        </w:tc>
        <w:tc>
          <w:tcPr>
            <w:tcW w:w="14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4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207">
              <w:r>
                <w:rPr>
                  <w:rFonts w:ascii="Times New Roman" w:cs="Times New Roman" w:eastAsia="Times New Roman" w:hAnsi="Times New Roman"/>
                  <w:sz w:val="18"/>
                  <w:szCs w:val="18"/>
                  <w:color w:val="0000EE"/>
                  <w:w w:val="97"/>
                </w:rPr>
                <w:t>with the Securities and Exchange Commission on January 25, 2021)</w:t>
              </w:r>
            </w:hyperlink>
          </w:p>
        </w:tc>
        <w:tc>
          <w:tcPr>
            <w:tcW w:w="3860" w:type="dxa"/>
            <w:vAlign w:val="bottom"/>
            <w:gridSpan w:val="18"/>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6"/>
                <w:szCs w:val="16"/>
                <w:color w:val="auto"/>
              </w:rPr>
            </w:pPr>
          </w:p>
        </w:tc>
        <w:tc>
          <w:tcPr>
            <w:tcW w:w="854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Form of Indemnification Agreement between the Registrant and its directors and executive officers (incorporated herein</w:t>
              </w:r>
            </w:hyperlink>
          </w:p>
        </w:tc>
        <w:tc>
          <w:tcPr>
            <w:tcW w:w="16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2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by reference to Exhibit 10.2 to the registration statement on Form F-1 (File No. 333-230977), as amended, initially filed</w:t>
              </w:r>
            </w:hyperlink>
          </w:p>
        </w:tc>
        <w:tc>
          <w:tcPr>
            <w:tcW w:w="180" w:type="dxa"/>
            <w:vAlign w:val="bottom"/>
            <w:gridSpan w:val="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6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208">
              <w:r>
                <w:rPr>
                  <w:rFonts w:ascii="Times New Roman" w:cs="Times New Roman" w:eastAsia="Times New Roman" w:hAnsi="Times New Roman"/>
                  <w:sz w:val="18"/>
                  <w:szCs w:val="18"/>
                  <w:color w:val="0000EE"/>
                  <w:w w:val="97"/>
                </w:rPr>
                <w:t>with the Securities and Exchange Commission on April 22, 2019)</w:t>
              </w:r>
            </w:hyperlink>
          </w:p>
        </w:tc>
        <w:tc>
          <w:tcPr>
            <w:tcW w:w="4040" w:type="dxa"/>
            <w:vAlign w:val="bottom"/>
            <w:gridSpan w:val="19"/>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Form of Employment Agreement between the Registrant and its executive officers (incorporated herein by reference to</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40" w:type="dxa"/>
            <w:vAlign w:val="bottom"/>
            <w:tcBorders>
              <w:top w:val="single" w:sz="8" w:color="0000EE"/>
            </w:tcBorders>
            <w:gridSpan w:val="18"/>
          </w:tcPr>
          <w:p>
            <w:pPr>
              <w:spacing w:after="0" w:line="192"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Exhibit 10.3 to the registration statement on Form F-1 (File No. 333-230977), as amended, initially filed with the</w:t>
              </w:r>
            </w:hyperlink>
          </w:p>
        </w:tc>
        <w:tc>
          <w:tcPr>
            <w:tcW w:w="26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40" w:type="dxa"/>
            <w:vAlign w:val="bottom"/>
            <w:tcBorders>
              <w:top w:val="single" w:sz="8" w:color="0000EE"/>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Securities and Exchange Commission on April 22, 2019)</w:t>
              </w:r>
            </w:hyperlink>
          </w:p>
        </w:tc>
        <w:tc>
          <w:tcPr>
            <w:tcW w:w="3960" w:type="dxa"/>
            <w:vAlign w:val="bottom"/>
            <w:tcBorders>
              <w:top w:val="single" w:sz="8" w:color="0000EE"/>
            </w:tcBorders>
            <w:gridSpan w:val="9"/>
          </w:tcPr>
          <w:p>
            <w:pPr>
              <w:spacing w:after="0"/>
              <w:rPr>
                <w:sz w:val="16"/>
                <w:szCs w:val="16"/>
                <w:color w:val="auto"/>
              </w:rPr>
            </w:pPr>
          </w:p>
        </w:tc>
        <w:tc>
          <w:tcPr>
            <w:tcW w:w="700" w:type="dxa"/>
            <w:vAlign w:val="bottom"/>
            <w:gridSpan w:val="13"/>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6"/>
                <w:szCs w:val="16"/>
                <w:color w:val="auto"/>
              </w:rPr>
            </w:pPr>
          </w:p>
        </w:tc>
        <w:tc>
          <w:tcPr>
            <w:tcW w:w="838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Series A Preferred Share Purchase Agreement by and among the Registrant, Zhiya Qian, Summer Fame Limited, Min</w:t>
              </w:r>
            </w:hyperlink>
          </w:p>
        </w:tc>
        <w:tc>
          <w:tcPr>
            <w:tcW w:w="3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00" w:type="dxa"/>
            <w:vAlign w:val="bottom"/>
            <w:tcBorders>
              <w:bottom w:val="single" w:sz="8" w:color="0000EE"/>
            </w:tcBorders>
            <w:gridSpan w:val="20"/>
          </w:tcPr>
          <w:p>
            <w:pPr>
              <w:spacing w:after="0" w:line="192"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Chen, May Bliss Limited, Haode Investment Inc., Primus Investments Fund, L.P., Mayer Investments Fund, L.P., STAR</w:t>
              </w:r>
            </w:hyperlink>
          </w:p>
        </w:tc>
        <w:tc>
          <w:tcPr>
            <w:tcW w:w="20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4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GROVE GLOBAL LIMITED, Lucky Cup Holdings Limited, Joy Capital II, L.P., Joy Luck Management Limited, Galaxy</w:t>
              </w:r>
            </w:hyperlink>
          </w:p>
        </w:tc>
        <w:tc>
          <w:tcPr>
            <w:tcW w:w="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8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Shine Limited, Carob Investment Pte Ltd and other parties named therein dated June 22, 2018 (incorporated herein by</w:t>
              </w:r>
            </w:hyperlink>
          </w:p>
        </w:tc>
        <w:tc>
          <w:tcPr>
            <w:tcW w:w="3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reference to Exhibit 10.4 to the registration statement on Form F-1 (File No. 333-230977), as amended, initially filed with</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the Securities and Exchange Commission on April 22, 2019)</w:t>
              </w:r>
            </w:hyperlink>
          </w:p>
        </w:tc>
        <w:tc>
          <w:tcPr>
            <w:tcW w:w="4320" w:type="dxa"/>
            <w:vAlign w:val="bottom"/>
            <w:tcBorders>
              <w:top w:val="single" w:sz="8" w:color="0000EE"/>
            </w:tcBorders>
            <w:gridSpan w:val="19"/>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6"/>
                <w:szCs w:val="16"/>
                <w:color w:val="auto"/>
              </w:rPr>
            </w:pPr>
          </w:p>
        </w:tc>
        <w:tc>
          <w:tcPr>
            <w:tcW w:w="834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Series B Preferred Share Purchase Agreement by and among the Registrant, Zhiya Qian, Summer Fame Limited, Min</w:t>
              </w:r>
            </w:hyperlink>
          </w:p>
        </w:tc>
        <w:tc>
          <w:tcPr>
            <w:tcW w:w="360" w:type="dxa"/>
            <w:vAlign w:val="bottom"/>
            <w:gridSpan w:val="1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Chen, May Bliss Limited, Haode Investment Inc., Joy Capital II, L.P., Honour Ample Limited, Joy Luck Management</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80" w:type="dxa"/>
            <w:vAlign w:val="bottom"/>
            <w:tcBorders>
              <w:top w:val="single" w:sz="8" w:color="0000EE"/>
            </w:tcBorders>
            <w:gridSpan w:val="17"/>
          </w:tcPr>
          <w:p>
            <w:pPr>
              <w:spacing w:after="0" w:line="19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Limited, Fortunate Cup Holdings Limited, China International Capital Corporation (Hong Kong) Limited, Carob</w:t>
              </w:r>
            </w:hyperlink>
          </w:p>
        </w:tc>
        <w:tc>
          <w:tcPr>
            <w:tcW w:w="320" w:type="dxa"/>
            <w:vAlign w:val="bottom"/>
            <w:gridSpan w:val="9"/>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980" w:type="dxa"/>
            <w:vAlign w:val="bottom"/>
            <w:gridSpan w:val="9"/>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6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211">
              <w:r>
                <w:rPr>
                  <w:rFonts w:ascii="Times New Roman" w:cs="Times New Roman" w:eastAsia="Times New Roman" w:hAnsi="Times New Roman"/>
                  <w:sz w:val="18"/>
                  <w:szCs w:val="18"/>
                  <w:color w:val="0000EE"/>
                  <w:w w:val="97"/>
                </w:rPr>
                <w:t>Investment Pte Ltd and other parties named therein dated November 2, 2018 (incorporated herein by reference to Exhibit</w:t>
              </w:r>
            </w:hyperlink>
          </w:p>
        </w:tc>
        <w:tc>
          <w:tcPr>
            <w:tcW w:w="14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registration statement on Form F-1 (File No. 333-230977), as amended, initially filed with the Securities and</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211">
              <w:r>
                <w:rPr>
                  <w:rFonts w:ascii="Times New Roman" w:cs="Times New Roman" w:eastAsia="Times New Roman" w:hAnsi="Times New Roman"/>
                  <w:sz w:val="18"/>
                  <w:szCs w:val="18"/>
                  <w:color w:val="0000EE"/>
                  <w:w w:val="97"/>
                </w:rPr>
                <w:t>Exchange Commission on April 22, 2019)</w:t>
              </w:r>
            </w:hyperlink>
          </w:p>
        </w:tc>
        <w:tc>
          <w:tcPr>
            <w:tcW w:w="5480" w:type="dxa"/>
            <w:vAlign w:val="bottom"/>
            <w:tcBorders>
              <w:top w:val="single" w:sz="8" w:color="0000EE"/>
            </w:tcBorders>
            <w:gridSpan w:val="16"/>
          </w:tcPr>
          <w:p>
            <w:pPr>
              <w:spacing w:after="0"/>
              <w:rPr>
                <w:sz w:val="16"/>
                <w:szCs w:val="16"/>
                <w:color w:val="auto"/>
              </w:rPr>
            </w:pPr>
          </w:p>
        </w:tc>
        <w:tc>
          <w:tcPr>
            <w:tcW w:w="220" w:type="dxa"/>
            <w:vAlign w:val="bottom"/>
            <w:gridSpan w:val="7"/>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Additional Series B Preferred Share Purchase Agreement by and among the Registrant, Zhiya Qian, Summer Fame</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140" w:type="dxa"/>
            <w:vAlign w:val="bottom"/>
            <w:gridSpan w:val="1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6"/>
          </w:tcPr>
          <w:p>
            <w:pPr>
              <w:spacing w:after="0" w:line="192"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Limited, Min Chen, May Bliss Limited, Haode Investment Inc., Galaxy Shine Limited and other parties named therein</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 w:lineRule="exact"/>
        <w:rPr>
          <w:sz w:val="20"/>
          <w:szCs w:val="20"/>
          <w:color w:val="auto"/>
        </w:rPr>
      </w:pPr>
    </w:p>
    <w:p>
      <w:pPr>
        <w:ind w:left="1220" w:right="20"/>
        <w:spacing w:after="0" w:line="274" w:lineRule="auto"/>
        <w:rPr>
          <w:rFonts w:ascii="Times New Roman" w:cs="Times New Roman" w:eastAsia="Times New Roman" w:hAnsi="Times New Roman"/>
          <w:sz w:val="18"/>
          <w:szCs w:val="18"/>
          <w:u w:val="single" w:color="auto"/>
          <w:color w:val="0000EE"/>
        </w:rPr>
      </w:pPr>
      <w:hyperlink r:id="rId212">
        <w:r>
          <w:rPr>
            <w:rFonts w:ascii="Times New Roman" w:cs="Times New Roman" w:eastAsia="Times New Roman" w:hAnsi="Times New Roman"/>
            <w:sz w:val="18"/>
            <w:szCs w:val="18"/>
            <w:u w:val="single" w:color="auto"/>
            <w:color w:val="0000EE"/>
          </w:rPr>
          <w:t>dated January 9, 2019 (incorporated herein by reference to Exhibit 10.6 to the registration statement on Form F-1 (File No.</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333-230977), as amended, initially filed with the Securities and Exchange Commission on April 22, 2019)</w:t>
        </w:r>
      </w:hyperlink>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70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6"/>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4"/>
                <w:szCs w:val="14"/>
                <w:color w:val="auto"/>
              </w:rPr>
            </w:pPr>
          </w:p>
        </w:tc>
        <w:tc>
          <w:tcPr>
            <w:tcW w:w="8500" w:type="dxa"/>
            <w:vAlign w:val="bottom"/>
            <w:tcBorders>
              <w:top w:val="single" w:sz="8" w:color="auto"/>
              <w:bottom w:val="single" w:sz="8" w:color="0000EE"/>
            </w:tcBorders>
            <w:gridSpan w:val="24"/>
          </w:tcPr>
          <w:p>
            <w:pPr>
              <w:spacing w:after="0" w:line="165"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Series B-1 Preferred Share Purchase Agreement by and among the Registrant, Zhiya Qian, Summer Fame Limited, Min</w:t>
              </w:r>
            </w:hyperlink>
          </w:p>
        </w:tc>
        <w:tc>
          <w:tcPr>
            <w:tcW w:w="200" w:type="dxa"/>
            <w:vAlign w:val="bottom"/>
            <w:tcBorders>
              <w:top w:val="single" w:sz="8" w:color="auto"/>
            </w:tcBorders>
            <w:gridSpan w:val="8"/>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Chen, May Bliss Limited, Haode Investment Inc., Darsana Master Fund LP, Bel45 Private Opportunities Fund, L.P., Tango</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Capital Opportunities Fund, L.P., TSCL Private Markets Fund, L.P., NDSIB Private Opportunities Fund, L.P., BlackRock</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80" w:type="dxa"/>
            <w:vAlign w:val="bottom"/>
            <w:tcBorders>
              <w:bottom w:val="single" w:sz="8" w:color="0000EE"/>
            </w:tcBorders>
            <w:gridSpan w:val="31"/>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Private Opportunities Fund IV, L.P., BR POF IV Cayman Master Fund, L.P., High Rock Direct Fund, L.P., BlackRock MD</w:t>
              </w:r>
            </w:hyperlink>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Private Opportunities Fund, L.P., 1885 Private Opportunities Fund, L.P., NHRS Private Opportunities Fund, L.P., Sullivan</w:t>
              </w:r>
            </w:hyperlink>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Way Private Opportunities Fund, L.P., Coin Private Opportunities, L.P., POF III Scottish Master, L.P., BlackRock</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Inverwood Private Opportunities Fund, L.P., OV Private Opportunities, L.P., Red River Direct Investment Fund III, L.P.,</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20" w:type="dxa"/>
            <w:vAlign w:val="bottom"/>
            <w:tcBorders>
              <w:top w:val="single" w:sz="8" w:color="0000EE"/>
            </w:tcBorders>
            <w:gridSpan w:val="25"/>
          </w:tcPr>
          <w:p>
            <w:pPr>
              <w:spacing w:after="0" w:line="192"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BR/ERB Co-Investment Fund II, L.P., BlackRock MSV Private Opportunities Fund, L.P., Private Equity Partners VII</w:t>
              </w:r>
            </w:hyperlink>
          </w:p>
        </w:tc>
        <w:tc>
          <w:tcPr>
            <w:tcW w:w="180" w:type="dxa"/>
            <w:vAlign w:val="bottom"/>
            <w:gridSpan w:val="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00" w:type="dxa"/>
            <w:vAlign w:val="bottom"/>
            <w:tcBorders>
              <w:top w:val="single" w:sz="8" w:color="0000EE"/>
            </w:tcBorders>
            <w:gridSpan w:val="18"/>
          </w:tcPr>
          <w:p>
            <w:pPr>
              <w:spacing w:after="0" w:line="192"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Master, L.P., Private Equity Partners VII US, L.P., BlackRock Private Opportunities Fund IV Master SCSp, Total</w:t>
              </w:r>
            </w:hyperlink>
          </w:p>
        </w:tc>
        <w:tc>
          <w:tcPr>
            <w:tcW w:w="400" w:type="dxa"/>
            <w:vAlign w:val="bottom"/>
            <w:gridSpan w:val="14"/>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Alternatives Fund—Private Equity LP, Total Alternatives Fund—Private Equity (B) LP and other parties named therein</w:t>
              </w:r>
            </w:hyperlink>
          </w:p>
        </w:tc>
        <w:tc>
          <w:tcPr>
            <w:tcW w:w="2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dated April 12, 2019 (incorporated herein by reference to Exhibit 10.7 to the registration statement on Form F-1 (File No.</w:t>
              </w:r>
            </w:hyperlink>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54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214">
              <w:r>
                <w:rPr>
                  <w:rFonts w:ascii="Times New Roman" w:cs="Times New Roman" w:eastAsia="Times New Roman" w:hAnsi="Times New Roman"/>
                  <w:sz w:val="18"/>
                  <w:szCs w:val="18"/>
                  <w:color w:val="0000EE"/>
                  <w:w w:val="97"/>
                </w:rPr>
                <w:t>333-230977), as amended, initially filed with the Securities and Exchange Commission on April 22, 2019)</w:t>
              </w:r>
            </w:hyperlink>
          </w:p>
        </w:tc>
        <w:tc>
          <w:tcPr>
            <w:tcW w:w="1160" w:type="dxa"/>
            <w:vAlign w:val="bottom"/>
            <w:gridSpan w:val="25"/>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6"/>
                <w:szCs w:val="16"/>
                <w:color w:val="auto"/>
              </w:rPr>
            </w:pPr>
          </w:p>
        </w:tc>
        <w:tc>
          <w:tcPr>
            <w:tcW w:w="826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Third Amended and Restated Investors’ Rights Agreement by and among the Registrant, Zhiya Qian, Summer Fame</w:t>
              </w:r>
            </w:hyperlink>
          </w:p>
        </w:tc>
        <w:tc>
          <w:tcPr>
            <w:tcW w:w="440" w:type="dxa"/>
            <w:vAlign w:val="bottom"/>
            <w:gridSpan w:val="1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Limited, Min Chen, May Bliss Limited, Haode Investment Inc., Primus Investments Fund, L.P., Mayer Investments Fund,</w:t>
              </w:r>
            </w:hyperlink>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8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L.P., Star Grove Global Limited, Lucky Cup Holdings Limited, Joy Capital II, L.P, Joy Luck Management Limited,</w:t>
              </w:r>
            </w:hyperlink>
          </w:p>
        </w:tc>
        <w:tc>
          <w:tcPr>
            <w:tcW w:w="520" w:type="dxa"/>
            <w:vAlign w:val="bottom"/>
            <w:gridSpan w:val="1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60" w:type="dxa"/>
            <w:vAlign w:val="bottom"/>
            <w:tcBorders>
              <w:bottom w:val="single" w:sz="8" w:color="0000EE"/>
            </w:tcBorders>
            <w:gridSpan w:val="30"/>
          </w:tcPr>
          <w:p>
            <w:pPr>
              <w:spacing w:after="0" w:line="192"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Galaxy Shine Limited, Carob Investment Pte Ltd, Honour Ample Limited, Fortunate Cup Holdings Limited, Blue Fortune</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Limited, Darsana Master Fund LP, Bel45 Private Opportunities Fund, L.P., Tango Capital Opportunities Fund, L.P., TSCL</w:t>
              </w:r>
            </w:hyperlink>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Private Markets Fund, L.P., NDSIB Private Opportunities Fund, L.P., BlackRock Private Opportunities Fund IV, L.P., BR</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POF IV Cayman Master Fund, L.P., High Rock Direct Fund, L.P., BlackRock MD Private Opportunities Fund, L.P., 1885</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Private Opportunities Fund, L.P., NHRS Private Opportunities Fund, L.P., Sullivan Way Private Opportunities Fund, L.P.,</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Coin Private Opportunities, L.P., POF III Scottish Master, L.P., BlackRock Inverwood Private Opportunities Fund, L.P.,</w:t>
              </w:r>
            </w:hyperlink>
          </w:p>
        </w:tc>
        <w:tc>
          <w:tcPr>
            <w:tcW w:w="2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OV Private Opportunities, L.P., Red River Direct Investment Fund III, L.P., BR/ERB Co-Investment Fund II, L.P.,</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8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BlackRock MSV Private Opportunities Fund, L.P., Private Equity Partners VII Master, L.P., Private Equity Partners VII</w:t>
              </w:r>
            </w:hyperlink>
          </w:p>
        </w:tc>
        <w:tc>
          <w:tcPr>
            <w:tcW w:w="2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US, L.P., BlackRock Private Opportunities Fund IV Master SCSp, Total Alternatives Fund—Private Equity LP, Total</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60" w:type="dxa"/>
            <w:vAlign w:val="bottom"/>
            <w:tcBorders>
              <w:bottom w:val="single" w:sz="8" w:color="0000EE"/>
            </w:tcBorders>
            <w:gridSpan w:val="30"/>
          </w:tcPr>
          <w:p>
            <w:pPr>
              <w:spacing w:after="0" w:line="192" w:lineRule="exact"/>
              <w:rPr>
                <w:rFonts w:ascii="Times New Roman" w:cs="Times New Roman" w:eastAsia="Times New Roman" w:hAnsi="Times New Roman"/>
                <w:sz w:val="18"/>
                <w:szCs w:val="18"/>
                <w:color w:val="0000EE"/>
                <w:w w:val="97"/>
              </w:rPr>
            </w:pPr>
            <w:hyperlink r:id="rId215">
              <w:r>
                <w:rPr>
                  <w:rFonts w:ascii="Times New Roman" w:cs="Times New Roman" w:eastAsia="Times New Roman" w:hAnsi="Times New Roman"/>
                  <w:sz w:val="18"/>
                  <w:szCs w:val="18"/>
                  <w:color w:val="0000EE"/>
                  <w:w w:val="97"/>
                </w:rPr>
                <w:t>Alternatives Fund—Private Equity (B) LP, Taide Investment Management Ltd and other parties named therein dated April</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17, 2019 (incorporated herein by reference to Exhibit 10.8 to the registration statement on Form F-1 (File No. 333-</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2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230977)</w:t>
              </w:r>
              <w:r>
                <w:rPr>
                  <w:rFonts w:ascii="Times New Roman" w:cs="Times New Roman" w:eastAsia="Times New Roman" w:hAnsi="Times New Roman"/>
                  <w:sz w:val="18"/>
                  <w:szCs w:val="18"/>
                  <w:u w:val="single" w:color="auto"/>
                  <w:color w:val="0000EE"/>
                  <w:w w:val="98"/>
                </w:rPr>
                <w:t>,</w:t>
              </w:r>
              <w:r>
                <w:rPr>
                  <w:rFonts w:ascii="Times New Roman" w:cs="Times New Roman" w:eastAsia="Times New Roman" w:hAnsi="Times New Roman"/>
                  <w:sz w:val="18"/>
                  <w:szCs w:val="18"/>
                  <w:color w:val="0000EE"/>
                  <w:w w:val="98"/>
                </w:rPr>
                <w:t xml:space="preserve"> as amended, initially filed with the Securities and Exchange Commission on April 22, 2019)</w:t>
              </w:r>
            </w:hyperlink>
          </w:p>
        </w:tc>
        <w:tc>
          <w:tcPr>
            <w:tcW w:w="900" w:type="dxa"/>
            <w:vAlign w:val="bottom"/>
            <w:tcBorders>
              <w:top w:val="single" w:sz="8" w:color="0000EE"/>
            </w:tcBorders>
            <w:gridSpan w:val="5"/>
          </w:tcPr>
          <w:p>
            <w:pPr>
              <w:spacing w:after="0"/>
              <w:rPr>
                <w:sz w:val="16"/>
                <w:szCs w:val="16"/>
                <w:color w:val="auto"/>
              </w:rPr>
            </w:pPr>
          </w:p>
        </w:tc>
        <w:tc>
          <w:tcPr>
            <w:tcW w:w="580" w:type="dxa"/>
            <w:vAlign w:val="bottom"/>
            <w:gridSpan w:val="21"/>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Subscription Agreement by and between the Registrant and Louis Dreyfus Company B.V. dated April 19, 2019</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(incorporated herein by reference to Exhibit 10.9 to the registration statement on Form F-1 (File No. 333-230977), as</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80" w:type="dxa"/>
            <w:vAlign w:val="bottom"/>
            <w:tcBorders>
              <w:top w:val="single" w:sz="8" w:color="0000EE"/>
            </w:tcBorders>
            <w:gridSpan w:val="17"/>
          </w:tcPr>
          <w:p>
            <w:pPr>
              <w:spacing w:after="0" w:line="19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amended, initially filed with the Securities and Exchange Commission on April 22, 2019)</w:t>
              </w:r>
            </w:hyperlink>
          </w:p>
        </w:tc>
        <w:tc>
          <w:tcPr>
            <w:tcW w:w="420" w:type="dxa"/>
            <w:vAlign w:val="bottom"/>
            <w:gridSpan w:val="15"/>
          </w:tcPr>
          <w:p>
            <w:pPr>
              <w:spacing w:after="0"/>
              <w:rPr>
                <w:sz w:val="16"/>
                <w:szCs w:val="16"/>
                <w:color w:val="auto"/>
              </w:rPr>
            </w:pPr>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6"/>
                <w:szCs w:val="16"/>
                <w:color w:val="auto"/>
              </w:rPr>
            </w:pPr>
          </w:p>
        </w:tc>
        <w:tc>
          <w:tcPr>
            <w:tcW w:w="8240" w:type="dxa"/>
            <w:vAlign w:val="bottom"/>
            <w:tcBorders>
              <w:bottom w:val="single" w:sz="8" w:color="0000EE"/>
            </w:tcBorders>
            <w:gridSpan w:val="15"/>
          </w:tcPr>
          <w:p>
            <w:pPr>
              <w:spacing w:after="0" w:line="192" w:lineRule="exact"/>
              <w:rPr>
                <w:sz w:val="20"/>
                <w:szCs w:val="20"/>
                <w:color w:val="auto"/>
              </w:rPr>
            </w:pPr>
            <w:r>
              <w:rPr>
                <w:rFonts w:ascii="Times New Roman" w:cs="Times New Roman" w:eastAsia="Times New Roman" w:hAnsi="Times New Roman"/>
                <w:sz w:val="18"/>
                <w:szCs w:val="18"/>
                <w:color w:val="0000EE"/>
                <w:w w:val="97"/>
              </w:rPr>
              <w:t>English translation of Termination Agreement of the Contractual Agreements by and among Beijing WFOE, Beijing</w:t>
            </w:r>
          </w:p>
        </w:tc>
        <w:tc>
          <w:tcPr>
            <w:tcW w:w="460" w:type="dxa"/>
            <w:vAlign w:val="bottom"/>
            <w:gridSpan w:val="1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Luckin Coffee Technoligy Ltd., and the shareholders of Beijing Luckin Coffee Technology Ltd., dated March 15, 2024</w:t>
            </w:r>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spacing w:after="0"/>
              <w:rPr>
                <w:sz w:val="16"/>
                <w:szCs w:val="16"/>
                <w:color w:val="auto"/>
              </w:rPr>
            </w:pPr>
          </w:p>
        </w:tc>
        <w:tc>
          <w:tcPr>
            <w:tcW w:w="870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7"/>
              </w:rPr>
            </w:pPr>
            <w:hyperlink r:id="rId217">
              <w:r>
                <w:rPr>
                  <w:rFonts w:ascii="Times New Roman" w:cs="Times New Roman" w:eastAsia="Times New Roman" w:hAnsi="Times New Roman"/>
                  <w:sz w:val="18"/>
                  <w:szCs w:val="18"/>
                  <w:color w:val="0000EE"/>
                  <w:w w:val="97"/>
                </w:rPr>
                <w:t>Restructuring Support Agreement by and among the Registrant, the joint provisional liquidators appointed to the Company</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by the order of the Grand Court of the Cayman Islands dated July 15, 2020 in the provisional liquidation proceedings</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00" w:type="dxa"/>
            <w:vAlign w:val="bottom"/>
            <w:tcBorders>
              <w:bottom w:val="single" w:sz="8" w:color="0000EE"/>
            </w:tcBorders>
            <w:gridSpan w:val="24"/>
          </w:tcPr>
          <w:p>
            <w:pPr>
              <w:spacing w:after="0" w:line="192" w:lineRule="exact"/>
              <w:rPr>
                <w:rFonts w:ascii="Times New Roman" w:cs="Times New Roman" w:eastAsia="Times New Roman" w:hAnsi="Times New Roman"/>
                <w:sz w:val="18"/>
                <w:szCs w:val="18"/>
                <w:color w:val="0000EE"/>
                <w:w w:val="97"/>
              </w:rPr>
            </w:pPr>
            <w:hyperlink r:id="rId217">
              <w:r>
                <w:rPr>
                  <w:rFonts w:ascii="Times New Roman" w:cs="Times New Roman" w:eastAsia="Times New Roman" w:hAnsi="Times New Roman"/>
                  <w:sz w:val="18"/>
                  <w:szCs w:val="18"/>
                  <w:color w:val="0000EE"/>
                  <w:w w:val="97"/>
                </w:rPr>
                <w:t>relating to the Registrant (Cause No. FSD 157 of 2020(ASCJ)) and certain holders of the Registrant’s convertible senior</w:t>
              </w:r>
            </w:hyperlink>
          </w:p>
        </w:tc>
        <w:tc>
          <w:tcPr>
            <w:tcW w:w="20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6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notes due 2025, dated March 16, 2021 (incorporated herein by reference to Exhibit 99.2 to the Form 6-K (File No. 001-</w:t>
              </w:r>
            </w:hyperlink>
          </w:p>
        </w:tc>
        <w:tc>
          <w:tcPr>
            <w:tcW w:w="240" w:type="dxa"/>
            <w:vAlign w:val="bottom"/>
            <w:gridSpan w:val="1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6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217">
              <w:r>
                <w:rPr>
                  <w:rFonts w:ascii="Times New Roman" w:cs="Times New Roman" w:eastAsia="Times New Roman" w:hAnsi="Times New Roman"/>
                  <w:sz w:val="18"/>
                  <w:szCs w:val="18"/>
                  <w:color w:val="0000EE"/>
                  <w:w w:val="97"/>
                </w:rPr>
                <w:t>38896) filed with the Securities and Exchange Commission on March 16, 2021)</w:t>
              </w:r>
            </w:hyperlink>
          </w:p>
        </w:tc>
        <w:tc>
          <w:tcPr>
            <w:tcW w:w="3040" w:type="dxa"/>
            <w:vAlign w:val="bottom"/>
            <w:gridSpan w:val="29"/>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4.13</w:t>
            </w:r>
          </w:p>
        </w:tc>
        <w:tc>
          <w:tcPr>
            <w:tcW w:w="32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Amendment No.1 dated September 1, 2021 to the Restructuring Support Agreement dated March 16, 2021, by and among</w:t>
              </w:r>
            </w:hyperlink>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0" w:type="dxa"/>
            <w:vAlign w:val="bottom"/>
            <w:tcBorders>
              <w:bottom w:val="single" w:sz="8" w:color="0000EE"/>
            </w:tcBorders>
            <w:gridSpan w:val="27"/>
          </w:tcPr>
          <w:p>
            <w:pPr>
              <w:spacing w:after="0" w:line="192"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the Registrant, the joint provisional liquidators appointed to the Company by the order of the Grand Court of the Cayman</w:t>
              </w:r>
            </w:hyperlink>
          </w:p>
        </w:tc>
        <w:tc>
          <w:tcPr>
            <w:tcW w:w="100" w:type="dxa"/>
            <w:vAlign w:val="bottom"/>
            <w:gridSpan w:val="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Islands dated July 15, 2020 in the provisional liquidation proceedings relating to the Registrant (Cause No. FSD 157 of</w:t>
              </w:r>
            </w:hyperlink>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20" w:type="dxa"/>
            <w:vAlign w:val="bottom"/>
            <w:tcBorders>
              <w:top w:val="single" w:sz="8" w:color="0000EE"/>
            </w:tcBorders>
            <w:gridSpan w:val="20"/>
          </w:tcPr>
          <w:p>
            <w:pPr>
              <w:spacing w:after="0" w:line="192"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2020 (ASCJ)) and certain holders of the Registrant’s convertible senior notes due 2025</w:t>
              </w:r>
            </w:hyperlink>
          </w:p>
        </w:tc>
        <w:tc>
          <w:tcPr>
            <w:tcW w:w="280" w:type="dxa"/>
            <w:vAlign w:val="bottom"/>
            <w:gridSpan w:val="12"/>
          </w:tcPr>
          <w:p>
            <w:pPr>
              <w:spacing w:after="0"/>
              <w:rPr>
                <w:sz w:val="16"/>
                <w:szCs w:val="16"/>
                <w:color w:val="auto"/>
              </w:rPr>
            </w:pPr>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4.14</w:t>
            </w:r>
          </w:p>
        </w:tc>
        <w:tc>
          <w:tcPr>
            <w:tcW w:w="320" w:type="dxa"/>
            <w:vAlign w:val="bottom"/>
          </w:tcPr>
          <w:p>
            <w:pPr>
              <w:spacing w:after="0"/>
              <w:rPr>
                <w:sz w:val="16"/>
                <w:szCs w:val="16"/>
                <w:color w:val="auto"/>
              </w:rPr>
            </w:pPr>
          </w:p>
        </w:tc>
        <w:tc>
          <w:tcPr>
            <w:tcW w:w="840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219">
              <w:r>
                <w:rPr>
                  <w:rFonts w:ascii="Times New Roman" w:cs="Times New Roman" w:eastAsia="Times New Roman" w:hAnsi="Times New Roman"/>
                  <w:sz w:val="18"/>
                  <w:szCs w:val="18"/>
                  <w:color w:val="0000EE"/>
                  <w:w w:val="97"/>
                </w:rPr>
                <w:t>Investment Agreement by and among the Registrant, Cannonball Limited and Joy Capital II, L.P, dated April 15, 2021</w:t>
              </w:r>
            </w:hyperlink>
          </w:p>
        </w:tc>
        <w:tc>
          <w:tcPr>
            <w:tcW w:w="300" w:type="dxa"/>
            <w:vAlign w:val="bottom"/>
            <w:gridSpan w:val="1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4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219">
              <w:r>
                <w:rPr>
                  <w:rFonts w:ascii="Times New Roman" w:cs="Times New Roman" w:eastAsia="Times New Roman" w:hAnsi="Times New Roman"/>
                  <w:sz w:val="18"/>
                  <w:szCs w:val="18"/>
                  <w:color w:val="0000EE"/>
                  <w:w w:val="97"/>
                </w:rPr>
                <w:t>(incorporated herein by reference to Exhibit 4.20 to the annual report for the fiscal year ended December 31, 2019 filed</w:t>
              </w:r>
            </w:hyperlink>
          </w:p>
        </w:tc>
        <w:tc>
          <w:tcPr>
            <w:tcW w:w="260" w:type="dxa"/>
            <w:vAlign w:val="bottom"/>
            <w:gridSpan w:val="11"/>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with the Securities and Exchange Commission on June 30, 2021)</w:t>
              </w:r>
            </w:hyperlink>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4.15</w:t>
            </w:r>
          </w:p>
        </w:tc>
        <w:tc>
          <w:tcPr>
            <w:tcW w:w="320" w:type="dxa"/>
            <w:vAlign w:val="bottom"/>
          </w:tcPr>
          <w:p>
            <w:pPr>
              <w:spacing w:after="0"/>
              <w:rPr>
                <w:sz w:val="16"/>
                <w:szCs w:val="16"/>
                <w:color w:val="auto"/>
              </w:rPr>
            </w:pPr>
          </w:p>
        </w:tc>
        <w:tc>
          <w:tcPr>
            <w:tcW w:w="820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220">
              <w:r>
                <w:rPr>
                  <w:rFonts w:ascii="Times New Roman" w:cs="Times New Roman" w:eastAsia="Times New Roman" w:hAnsi="Times New Roman"/>
                  <w:sz w:val="18"/>
                  <w:szCs w:val="18"/>
                  <w:color w:val="0000EE"/>
                  <w:w w:val="97"/>
                </w:rPr>
                <w:t>Rights Agreement, dated as of October 14, 2021, between Luckin Coffee Inc. and American Stock Transfer &amp; Trust</w:t>
              </w:r>
            </w:hyperlink>
          </w:p>
        </w:tc>
        <w:tc>
          <w:tcPr>
            <w:tcW w:w="500" w:type="dxa"/>
            <w:vAlign w:val="bottom"/>
            <w:gridSpan w:val="1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32"/>
          </w:tcPr>
          <w:p>
            <w:pPr>
              <w:spacing w:after="0" w:line="192"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Company, LLC, as Rights Agent, including as Exhibit A the forms of Rights Certificate and of Election to Exercise</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100" w:type="dxa"/>
            <w:vAlign w:val="bottom"/>
            <w:gridSpan w:val="11"/>
            <w:shd w:val="clear" w:color="auto" w:fill="0000EE"/>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7"/>
              </w:rPr>
            </w:pPr>
            <w:hyperlink r:id="rId220">
              <w:r>
                <w:rPr>
                  <w:rFonts w:ascii="Times New Roman" w:cs="Times New Roman" w:eastAsia="Times New Roman" w:hAnsi="Times New Roman"/>
                  <w:sz w:val="18"/>
                  <w:szCs w:val="18"/>
                  <w:color w:val="0000EE"/>
                  <w:w w:val="97"/>
                </w:rPr>
                <w:t>(incorporated by reference to Exhibit 4.1 of the Company’s Current Report on Form 6-K, furnished on October 14, 2021)</w:t>
              </w:r>
            </w:hyperlink>
          </w:p>
        </w:tc>
        <w:tc>
          <w:tcPr>
            <w:tcW w:w="120" w:type="dxa"/>
            <w:vAlign w:val="bottom"/>
            <w:gridSpan w:val="6"/>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6"/>
                <w:szCs w:val="16"/>
                <w:color w:val="auto"/>
              </w:rPr>
            </w:pPr>
          </w:p>
        </w:tc>
        <w:tc>
          <w:tcPr>
            <w:tcW w:w="8700" w:type="dxa"/>
            <w:vAlign w:val="bottom"/>
            <w:gridSpan w:val="32"/>
          </w:tcPr>
          <w:p>
            <w:pPr>
              <w:spacing w:after="0" w:line="192" w:lineRule="exact"/>
              <w:rPr>
                <w:sz w:val="20"/>
                <w:szCs w:val="20"/>
                <w:color w:val="auto"/>
              </w:rPr>
            </w:pPr>
            <w:r>
              <w:rPr>
                <w:rFonts w:ascii="Times New Roman" w:cs="Times New Roman" w:eastAsia="Times New Roman" w:hAnsi="Times New Roman"/>
                <w:sz w:val="18"/>
                <w:szCs w:val="18"/>
                <w:color w:val="0000EE"/>
              </w:rPr>
              <w:t>List of Significant Subsidiaries and VIE of the Registrant</w:t>
            </w:r>
          </w:p>
        </w:tc>
      </w:tr>
      <w:tr>
        <w:trPr>
          <w:trHeight w:val="65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Borders>
              <w:top w:val="single" w:sz="8" w:color="0000EE"/>
            </w:tcBorders>
          </w:tcPr>
          <w:p>
            <w:pPr>
              <w:ind w:left="3620"/>
              <w:spacing w:after="0"/>
              <w:rPr>
                <w:sz w:val="20"/>
                <w:szCs w:val="20"/>
                <w:color w:val="auto"/>
              </w:rPr>
            </w:pPr>
            <w:r>
              <w:rPr>
                <w:rFonts w:ascii="Times New Roman" w:cs="Times New Roman" w:eastAsia="Times New Roman" w:hAnsi="Times New Roman"/>
                <w:sz w:val="18"/>
                <w:szCs w:val="18"/>
                <w:color w:val="auto"/>
              </w:rPr>
              <w:t>169</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5"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6"/>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4"/>
                <w:szCs w:val="14"/>
                <w:color w:val="auto"/>
              </w:rPr>
            </w:pPr>
          </w:p>
        </w:tc>
        <w:tc>
          <w:tcPr>
            <w:tcW w:w="8700" w:type="dxa"/>
            <w:vAlign w:val="bottom"/>
            <w:tcBorders>
              <w:top w:val="single" w:sz="8" w:color="auto"/>
            </w:tcBorders>
            <w:gridSpan w:val="10"/>
          </w:tcPr>
          <w:p>
            <w:pPr>
              <w:spacing w:after="0" w:line="165"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Amended Code of Business Conduct and Ethics of the Registrant</w:t>
              </w:r>
            </w:hyperlink>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6"/>
                <w:szCs w:val="16"/>
                <w:color w:val="auto"/>
              </w:rPr>
            </w:pPr>
          </w:p>
        </w:tc>
        <w:tc>
          <w:tcPr>
            <w:tcW w:w="870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spacing w:after="0"/>
              <w:rPr>
                <w:sz w:val="16"/>
                <w:szCs w:val="16"/>
                <w:color w:val="auto"/>
              </w:rPr>
            </w:pPr>
          </w:p>
        </w:tc>
        <w:tc>
          <w:tcPr>
            <w:tcW w:w="7320" w:type="dxa"/>
            <w:vAlign w:val="bottom"/>
            <w:tcBorders>
              <w:top w:val="single" w:sz="8" w:color="0000EE"/>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8"/>
              </w:rPr>
              <w:t>Certification by Principal Financial Officer Pursuant to Section 302 of the Sarbanes-Oxley Act of 2002</w:t>
            </w:r>
          </w:p>
        </w:tc>
        <w:tc>
          <w:tcPr>
            <w:tcW w:w="20" w:type="dxa"/>
            <w:vAlign w:val="bottom"/>
            <w:tcBorders>
              <w:top w:val="single" w:sz="8" w:color="0000EE"/>
            </w:tcBorders>
          </w:tcPr>
          <w:p>
            <w:pPr>
              <w:spacing w:after="0"/>
              <w:rPr>
                <w:sz w:val="16"/>
                <w:szCs w:val="16"/>
                <w:color w:val="auto"/>
              </w:rPr>
            </w:pPr>
          </w:p>
        </w:tc>
        <w:tc>
          <w:tcPr>
            <w:tcW w:w="1360" w:type="dxa"/>
            <w:vAlign w:val="bottom"/>
            <w:gridSpan w:val="2"/>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spacing w:after="0"/>
              <w:rPr>
                <w:sz w:val="16"/>
                <w:szCs w:val="16"/>
                <w:color w:val="auto"/>
              </w:rPr>
            </w:pPr>
          </w:p>
        </w:tc>
        <w:tc>
          <w:tcPr>
            <w:tcW w:w="870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6"/>
                <w:szCs w:val="16"/>
                <w:color w:val="auto"/>
              </w:rPr>
            </w:pPr>
          </w:p>
        </w:tc>
        <w:tc>
          <w:tcPr>
            <w:tcW w:w="7300" w:type="dxa"/>
            <w:vAlign w:val="bottom"/>
            <w:tcBorders>
              <w:top w:val="single" w:sz="8" w:color="0000EE"/>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7"/>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16"/>
                <w:szCs w:val="16"/>
                <w:color w:val="auto"/>
              </w:rPr>
            </w:pPr>
          </w:p>
        </w:tc>
        <w:tc>
          <w:tcPr>
            <w:tcW w:w="1360" w:type="dxa"/>
            <w:vAlign w:val="bottom"/>
            <w:gridSpan w:val="2"/>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15.1*</w:t>
            </w:r>
          </w:p>
        </w:tc>
        <w:tc>
          <w:tcPr>
            <w:tcW w:w="320" w:type="dxa"/>
            <w:vAlign w:val="bottom"/>
          </w:tcPr>
          <w:p>
            <w:pPr>
              <w:spacing w:after="0"/>
              <w:rPr>
                <w:sz w:val="16"/>
                <w:szCs w:val="16"/>
                <w:color w:val="auto"/>
              </w:rPr>
            </w:pPr>
          </w:p>
        </w:tc>
        <w:tc>
          <w:tcPr>
            <w:tcW w:w="870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rPr>
              <w:t>Consent of King &amp; Wood Mallesons</w:t>
            </w:r>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6"/>
                <w:szCs w:val="16"/>
                <w:color w:val="auto"/>
              </w:rPr>
            </w:pPr>
          </w:p>
        </w:tc>
        <w:tc>
          <w:tcPr>
            <w:tcW w:w="870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rPr>
              <w:t>Consent of Harney Westwood &amp; Riegels</w:t>
            </w:r>
          </w:p>
        </w:tc>
      </w:tr>
      <w:tr>
        <w:trPr>
          <w:trHeight w:val="20"/>
        </w:trPr>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6"/>
                <w:szCs w:val="16"/>
                <w:color w:val="auto"/>
              </w:rPr>
            </w:pPr>
          </w:p>
        </w:tc>
        <w:tc>
          <w:tcPr>
            <w:tcW w:w="870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w w:val="99"/>
              </w:rPr>
              <w:t>Consent of BDO China Shu Lun Pan Certified Public Accountants LLP, Independent Registered Public Accounting Firm</w:t>
            </w: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6"/>
                <w:szCs w:val="16"/>
                <w:color w:val="auto"/>
              </w:rPr>
            </w:pPr>
          </w:p>
        </w:tc>
        <w:tc>
          <w:tcPr>
            <w:tcW w:w="8560" w:type="dxa"/>
            <w:vAlign w:val="bottom"/>
            <w:tcBorders>
              <w:top w:val="single" w:sz="8" w:color="0000EE"/>
            </w:tcBorders>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Consent of Centurion ZD CPA &amp; Co., Independent Registered Public Accounting Firm</w:t>
            </w:r>
          </w:p>
        </w:tc>
        <w:tc>
          <w:tcPr>
            <w:tcW w:w="140" w:type="dxa"/>
            <w:vAlign w:val="bottom"/>
          </w:tcPr>
          <w:p>
            <w:pPr>
              <w:spacing w:after="0"/>
              <w:rPr>
                <w:sz w:val="16"/>
                <w:szCs w:val="16"/>
                <w:color w:val="auto"/>
              </w:rPr>
            </w:pPr>
          </w:p>
        </w:tc>
      </w:tr>
      <w:tr>
        <w:trPr>
          <w:trHeight w:val="192"/>
        </w:trPr>
        <w:tc>
          <w:tcPr>
            <w:tcW w:w="9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6"/>
                <w:szCs w:val="16"/>
                <w:color w:val="auto"/>
              </w:rPr>
            </w:pPr>
          </w:p>
        </w:tc>
        <w:tc>
          <w:tcPr>
            <w:tcW w:w="120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7"/>
              </w:rPr>
              <w:t>Clawback policy</w:t>
            </w:r>
          </w:p>
        </w:tc>
        <w:tc>
          <w:tcPr>
            <w:tcW w:w="4960" w:type="dxa"/>
            <w:vAlign w:val="bottom"/>
            <w:tcBorders>
              <w:top w:val="single" w:sz="8" w:color="0000EE"/>
            </w:tcBorders>
            <w:gridSpan w:val="4"/>
          </w:tcPr>
          <w:p>
            <w:pPr>
              <w:spacing w:after="0"/>
              <w:rPr>
                <w:sz w:val="16"/>
                <w:szCs w:val="16"/>
                <w:color w:val="auto"/>
              </w:rPr>
            </w:pPr>
          </w:p>
        </w:tc>
        <w:tc>
          <w:tcPr>
            <w:tcW w:w="2540" w:type="dxa"/>
            <w:vAlign w:val="bottom"/>
            <w:gridSpan w:val="5"/>
          </w:tcPr>
          <w:p>
            <w:pPr>
              <w:spacing w:after="0"/>
              <w:rPr>
                <w:sz w:val="16"/>
                <w:szCs w:val="16"/>
                <w:color w:val="auto"/>
              </w:rPr>
            </w:pPr>
          </w:p>
        </w:tc>
      </w:tr>
      <w:tr>
        <w:trPr>
          <w:trHeight w:val="425"/>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1"/>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right="3020" w:firstLine="8"/>
        <w:spacing w:after="0" w:line="480" w:lineRule="auto"/>
        <w:tabs>
          <w:tab w:leader="none" w:pos="122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320" w:hanging="313"/>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15735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00" w:lineRule="exact"/>
        <w:rPr>
          <w:sz w:val="20"/>
          <w:szCs w:val="20"/>
          <w:color w:val="auto"/>
        </w:rPr>
      </w:pPr>
    </w:p>
    <w:p>
      <w:pPr>
        <w:spacing w:after="0" w:line="229" w:lineRule="exact"/>
        <w:rPr>
          <w:sz w:val="20"/>
          <w:szCs w:val="20"/>
          <w:color w:val="auto"/>
        </w:rPr>
      </w:pPr>
    </w:p>
    <w:p>
      <w:pPr>
        <w:ind w:left="4900"/>
        <w:spacing w:after="0"/>
        <w:tabs>
          <w:tab w:leader="none" w:pos="5360" w:val="left"/>
        </w:tabs>
        <w:rPr>
          <w:sz w:val="20"/>
          <w:szCs w:val="20"/>
          <w:color w:val="auto"/>
        </w:rPr>
      </w:pPr>
      <w:r>
        <w:rPr>
          <w:rFonts w:ascii="Times New Roman" w:cs="Times New Roman" w:eastAsia="Times New Roman" w:hAnsi="Times New Roman"/>
          <w:sz w:val="18"/>
          <w:szCs w:val="18"/>
          <w:color w:val="auto"/>
        </w:rPr>
        <w:t>By:</w:t>
        <w:tab/>
        <w:t>/s/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14605</wp:posOffset>
            </wp:positionV>
            <wp:extent cx="28771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Name:Jing An</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LUCKIN COFFEE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8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FIRMS:</w:t>
            </w: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187"/>
        </w:trPr>
        <w:tc>
          <w:tcPr>
            <w:tcW w:w="8800" w:type="dxa"/>
            <w:vAlign w:val="bottom"/>
            <w:gridSpan w:val="1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0" w:type="dxa"/>
            <w:vAlign w:val="bottom"/>
            <w:gridSpan w:val="12"/>
          </w:tcPr>
          <w:p>
            <w:pPr>
              <w:spacing w:after="0" w:line="191"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China Shu Lun Pan Certified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Public Accountants LLP, Shanghai, China, PCAOB ID#1818)</w:t>
            </w:r>
          </w:p>
        </w:tc>
        <w:tc>
          <w:tcPr>
            <w:tcW w:w="3100" w:type="dxa"/>
            <w:vAlign w:val="bottom"/>
            <w:gridSpan w:val="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F-2–F-4</w:t>
            </w:r>
          </w:p>
        </w:tc>
        <w:tc>
          <w:tcPr>
            <w:tcW w:w="0" w:type="dxa"/>
            <w:vAlign w:val="bottom"/>
          </w:tcPr>
          <w:p>
            <w:pPr>
              <w:spacing w:after="0"/>
              <w:rPr>
                <w:sz w:val="1"/>
                <w:szCs w:val="1"/>
                <w:color w:val="auto"/>
              </w:rPr>
            </w:pPr>
          </w:p>
        </w:tc>
      </w:tr>
      <w:tr>
        <w:trPr>
          <w:trHeight w:val="191"/>
        </w:trPr>
        <w:tc>
          <w:tcPr>
            <w:tcW w:w="8800" w:type="dxa"/>
            <w:vAlign w:val="bottom"/>
            <w:gridSpan w:val="12"/>
          </w:tcPr>
          <w:p>
            <w:pPr>
              <w:spacing w:after="0" w:line="191" w:lineRule="exact"/>
              <w:rPr>
                <w:sz w:val="20"/>
                <w:szCs w:val="20"/>
                <w:color w:val="auto"/>
              </w:rPr>
            </w:pPr>
            <w:r>
              <w:rPr>
                <w:rFonts w:ascii="Times New Roman" w:cs="Times New Roman" w:eastAsia="Times New Roman" w:hAnsi="Times New Roman"/>
                <w:sz w:val="18"/>
                <w:szCs w:val="18"/>
                <w:color w:val="0000EE"/>
                <w:w w:val="99"/>
              </w:rPr>
              <w:t xml:space="preserve">REPORT OF INDEPENDENT REGISTERED PUBLIC ACCOUNTING FIRM </w:t>
            </w:r>
            <w:r>
              <w:rPr>
                <w:rFonts w:ascii="Times New Roman" w:cs="Times New Roman" w:eastAsia="Times New Roman" w:hAnsi="Times New Roman"/>
                <w:sz w:val="18"/>
                <w:szCs w:val="18"/>
                <w:color w:val="000000"/>
                <w:w w:val="99"/>
              </w:rPr>
              <w:t>(Centurion ZD CPA &amp; Co., Hong Kong,</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China, PCAOB ID#2769)</w:t>
            </w:r>
          </w:p>
        </w:tc>
        <w:tc>
          <w:tcPr>
            <w:tcW w:w="3100" w:type="dxa"/>
            <w:vAlign w:val="bottom"/>
            <w:gridSpan w:val="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F-5–F-5</w:t>
            </w:r>
          </w:p>
        </w:tc>
        <w:tc>
          <w:tcPr>
            <w:tcW w:w="0" w:type="dxa"/>
            <w:vAlign w:val="bottom"/>
          </w:tcPr>
          <w:p>
            <w:pPr>
              <w:spacing w:after="0"/>
              <w:rPr>
                <w:sz w:val="1"/>
                <w:szCs w:val="1"/>
                <w:color w:val="auto"/>
              </w:rPr>
            </w:pPr>
          </w:p>
        </w:tc>
      </w:tr>
      <w:tr>
        <w:trPr>
          <w:trHeight w:val="214"/>
        </w:trPr>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60" w:type="dxa"/>
            <w:vAlign w:val="bottom"/>
            <w:tcBorders>
              <w:bottom w:val="single" w:sz="8" w:color="0000EE"/>
            </w:tcBorders>
            <w:gridSpan w:val="7"/>
          </w:tcPr>
          <w:p>
            <w:pPr>
              <w:spacing w:after="0" w:line="191" w:lineRule="exact"/>
              <w:rPr>
                <w:sz w:val="20"/>
                <w:szCs w:val="20"/>
                <w:color w:val="auto"/>
              </w:rPr>
            </w:pPr>
            <w:r>
              <w:rPr>
                <w:rFonts w:ascii="Times New Roman" w:cs="Times New Roman" w:eastAsia="Times New Roman" w:hAnsi="Times New Roman"/>
                <w:sz w:val="18"/>
                <w:szCs w:val="18"/>
                <w:color w:val="0000EE"/>
                <w:w w:val="97"/>
              </w:rPr>
              <w:t>CONSOLIDATED BALANCE SHEETS AS OF DECEMBER 31, 2022 AND 2023</w:t>
            </w:r>
          </w:p>
        </w:tc>
        <w:tc>
          <w:tcPr>
            <w:tcW w:w="2840" w:type="dxa"/>
            <w:vAlign w:val="bottom"/>
            <w:gridSpan w:val="5"/>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F-6–F-7</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0000EE"/>
            </w:tcBorders>
            <w:gridSpan w:val="9"/>
          </w:tcPr>
          <w:p>
            <w:pPr>
              <w:spacing w:after="0" w:line="192" w:lineRule="exact"/>
              <w:rPr>
                <w:sz w:val="20"/>
                <w:szCs w:val="20"/>
                <w:color w:val="auto"/>
              </w:rPr>
            </w:pPr>
            <w:r>
              <w:rPr>
                <w:rFonts w:ascii="Times New Roman" w:cs="Times New Roman" w:eastAsia="Times New Roman" w:hAnsi="Times New Roman"/>
                <w:sz w:val="18"/>
                <w:szCs w:val="18"/>
                <w:color w:val="0000EE"/>
                <w:w w:val="97"/>
              </w:rPr>
              <w:t>CONSOLIDATED STATEMENTS OF COMPREHENSIVE INCOME FOR THE YEARS ENDED DECEMBER 31,</w:t>
            </w:r>
          </w:p>
        </w:tc>
        <w:tc>
          <w:tcPr>
            <w:tcW w:w="44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62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EE"/>
              </w:rPr>
              <w:t>2021, 2022 AND 2023</w:t>
            </w: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Borders>
              <w:top w:val="single" w:sz="8" w:color="0000EE"/>
            </w:tcBorders>
          </w:tcPr>
          <w:p>
            <w:pPr>
              <w:spacing w:after="0"/>
              <w:rPr>
                <w:sz w:val="16"/>
                <w:szCs w:val="16"/>
                <w:color w:val="auto"/>
              </w:rPr>
            </w:pPr>
          </w:p>
        </w:tc>
        <w:tc>
          <w:tcPr>
            <w:tcW w:w="8100" w:type="dxa"/>
            <w:vAlign w:val="bottom"/>
            <w:tcBorders>
              <w:top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2021, 2022 AND 2023</w:t>
            </w:r>
          </w:p>
        </w:tc>
        <w:tc>
          <w:tcPr>
            <w:tcW w:w="520" w:type="dxa"/>
            <w:vAlign w:val="bottom"/>
            <w:gridSpan w:val="4"/>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88"/>
              </w:rPr>
              <w:t>2023</w:t>
            </w:r>
          </w:p>
        </w:tc>
        <w:tc>
          <w:tcPr>
            <w:tcW w:w="7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39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2"/>
        </w:trPr>
        <w:tc>
          <w:tcPr>
            <w:tcW w:w="880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NOTES TO THE CONSOLIDATED FINANCIAL STATEMENTS FOR THE YEARS ENDED DECEMBER 31,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Borders>
              <w:top w:val="single" w:sz="8" w:color="0000EE"/>
            </w:tcBorders>
          </w:tcPr>
          <w:p>
            <w:pPr>
              <w:spacing w:after="0"/>
              <w:rPr>
                <w:sz w:val="16"/>
                <w:szCs w:val="16"/>
                <w:color w:val="auto"/>
              </w:rPr>
            </w:pPr>
          </w:p>
        </w:tc>
        <w:tc>
          <w:tcPr>
            <w:tcW w:w="8340" w:type="dxa"/>
            <w:vAlign w:val="bottom"/>
            <w:tcBorders>
              <w:top w:val="single" w:sz="8" w:color="0000EE"/>
            </w:tcBorders>
            <w:gridSpan w:val="10"/>
          </w:tcPr>
          <w:p>
            <w:pPr>
              <w:spacing w:after="0" w:line="192" w:lineRule="exact"/>
              <w:rPr>
                <w:sz w:val="20"/>
                <w:szCs w:val="20"/>
                <w:color w:val="auto"/>
              </w:rPr>
            </w:pPr>
            <w:r>
              <w:rPr>
                <w:rFonts w:ascii="Times New Roman" w:cs="Times New Roman" w:eastAsia="Times New Roman" w:hAnsi="Times New Roman"/>
                <w:sz w:val="18"/>
                <w:szCs w:val="18"/>
                <w:color w:val="0000EE"/>
              </w:rPr>
              <w:t>2022 AND 2023</w:t>
            </w:r>
          </w:p>
        </w:tc>
        <w:tc>
          <w:tcPr>
            <w:tcW w:w="28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F-11–F-52</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4602480" cy="43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46024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Xiamen, The People’s Republic of China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Luckin Coffee Inc. together with its consolidated subsidiaries and variable interest entity (collectively, the “Group”) as of December 31, 2023 and 2022, the related consolidated statements of operations and comprehensive income, shareholders’ equity, and cash flows for each of the years then ended, and the related notes (collectively referred to as the “consolidated financial statements”). In our opinion, the consolidated financial statements present fairly, in all material respects, the financial position of the Group at December 31, 2023 and 2022,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Group's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8, 2024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Valuation Allowance</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described in Note 16 to the consolidated financial statements, the Group records a valuation allowance based on the assessment of the realizability of the Group’s deferred tax assets. The Group establishes a valuation allowance to reduce deferred tax assets to the amount management believes is more likely than not to be realized. As of December 31, 2023, the valuation allowance of RMB442.7 million was provided against the deferred income tax assets of certain subsidiaries, which were not able to utilize portion or all of the benefits of the deferred tax assets due to lack of sufficient sources of qualified taxable income. With respect to certain other subsidiaries, the Group determined sufficient positive evidence existed to the realizability of the deferred tax assets associated with operations of those subsidiaries, given the reduced uncertainty of the business performance after those subsidiaries have generated cumulative profits. As a result, for those subsidiaries. the Group reduced the associated valuation allowance.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identified the assessment of the realizability of the Group’s deferred tax assets as a critical audit matter. Complex auditor judgement was involved in evaluating the management’s assessment of the realizability of deferred tax assets and significant assumptions relating to assumptions of continued profitability and expected utilization of deferred tax assets. Auditing these elements involved especially challenging and subjective auditor judgment due to the nature and extent of audit effort required to address these matters, including the extent of specialized skill or knowledge of income taxation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17" w:lineRule="exact"/>
        <w:rPr>
          <w:sz w:val="20"/>
          <w:szCs w:val="20"/>
          <w:color w:val="auto"/>
        </w:rPr>
      </w:pPr>
    </w:p>
    <w:p>
      <w:pPr>
        <w:jc w:val="both"/>
        <w:ind w:left="320" w:hanging="313"/>
        <w:spacing w:after="0" w:line="259"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significant assumptions of continued profitability of certain subsidiaries and expected utilization of deferred tax assets against current and past performance of those subsidiaries and whether such assumptions were consistent with evidence obtained in other areas of the audit.</w:t>
      </w:r>
    </w:p>
    <w:p>
      <w:pPr>
        <w:spacing w:after="0" w:line="177" w:lineRule="exact"/>
        <w:rPr>
          <w:rFonts w:ascii="Times New Roman" w:cs="Times New Roman" w:eastAsia="Times New Roman" w:hAnsi="Times New Roman"/>
          <w:sz w:val="18"/>
          <w:szCs w:val="18"/>
          <w:color w:val="auto"/>
        </w:rPr>
      </w:pPr>
    </w:p>
    <w:p>
      <w:pPr>
        <w:ind w:left="320" w:right="20" w:hanging="313"/>
        <w:spacing w:after="0" w:line="274"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professionals with specialized skills and knowledge in income tax accounting to assist in assessing the reasonableness of management’s assumptions and judgments.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China Shu Lun Pan Certified Public Accountants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4602480" cy="43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46024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Xiamen, The People’s Republic of China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Luckin Coffee Inc.’s together with its consolidated subsidiaries and variable interest entity (collectively, the “Group’s”)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(the “COSO criteria”).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maintained, in all material respects, effective internal control over financial reporting as of December 31, 2023, based on the COSO criteria.</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Group as of December 31, 2023 and 2022, and the related consolidated statements of operations and comprehensive income, shareholders’ equity, and cash flows for each of the years then ended, and the related notes and our report dated April 8, 2024 expressed an unqualified opinion thereon.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Group’s management is responsible for maintaining effective internal control over financial reporting and for its assessment of the effectiveness of internal control over financial reporting, included in the accompanying Item 15,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China Shu Lun Pan Certified Public Accountants LLP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664845" cy="782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664845" cy="78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20"/>
        <w:spacing w:after="0" w:line="216" w:lineRule="exact"/>
        <w:rPr>
          <w:sz w:val="20"/>
          <w:szCs w:val="20"/>
          <w:color w:val="auto"/>
        </w:rPr>
      </w:pPr>
      <w:r>
        <w:rPr>
          <w:rFonts w:ascii="PMingLiU" w:cs="PMingLiU" w:eastAsia="PMingLiU" w:hAnsi="PMingLiU"/>
          <w:sz w:val="18"/>
          <w:szCs w:val="18"/>
          <w:color w:val="auto"/>
        </w:rPr>
        <w:t>中正達會計師事務所</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Centurion ZD CPA &amp; Co.</w:t>
      </w:r>
    </w:p>
    <w:p>
      <w:pPr>
        <w:spacing w:after="0" w:line="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Certified Public Accountants (Practising)</w:t>
      </w:r>
    </w:p>
    <w:p>
      <w:pPr>
        <w:spacing w:after="0" w:line="198" w:lineRule="exact"/>
        <w:rPr>
          <w:sz w:val="20"/>
          <w:szCs w:val="20"/>
          <w:color w:val="auto"/>
        </w:rPr>
      </w:pPr>
    </w:p>
    <w:p>
      <w:pPr>
        <w:ind w:right="4240"/>
        <w:spacing w:after="0" w:line="229" w:lineRule="exact"/>
        <w:rPr>
          <w:sz w:val="20"/>
          <w:szCs w:val="20"/>
          <w:color w:val="auto"/>
        </w:rPr>
      </w:pPr>
      <w:r>
        <w:rPr>
          <w:rFonts w:ascii="Times New Roman" w:cs="Times New Roman" w:eastAsia="Times New Roman" w:hAnsi="Times New Roman"/>
          <w:sz w:val="18"/>
          <w:szCs w:val="18"/>
          <w:color w:val="auto"/>
        </w:rPr>
        <w:t xml:space="preserve">Unit 1304, 13/F., Two Harbourfront, 22 Tak Fung Street, Hunghom, Hong Kong </w:t>
      </w:r>
      <w:r>
        <w:rPr>
          <w:rFonts w:ascii="PMingLiU" w:cs="PMingLiU" w:eastAsia="PMingLiU" w:hAnsi="PMingLiU"/>
          <w:sz w:val="18"/>
          <w:szCs w:val="18"/>
          <w:color w:val="auto"/>
        </w:rPr>
        <w:t>香港紅磡德豐街</w:t>
      </w:r>
      <w:r>
        <w:rPr>
          <w:rFonts w:ascii="Times New Roman" w:cs="Times New Roman" w:eastAsia="Times New Roman" w:hAnsi="Times New Roman"/>
          <w:sz w:val="18"/>
          <w:szCs w:val="18"/>
          <w:color w:val="auto"/>
        </w:rPr>
        <w:t>22</w:t>
      </w:r>
      <w:r>
        <w:rPr>
          <w:rFonts w:ascii="PMingLiU" w:cs="PMingLiU" w:eastAsia="PMingLiU" w:hAnsi="PMingLiU"/>
          <w:sz w:val="18"/>
          <w:szCs w:val="18"/>
          <w:color w:val="auto"/>
        </w:rPr>
        <w:t>號海濱廣場二期</w:t>
      </w:r>
      <w:r>
        <w:rPr>
          <w:rFonts w:ascii="Times New Roman" w:cs="Times New Roman" w:eastAsia="Times New Roman" w:hAnsi="Times New Roman"/>
          <w:sz w:val="18"/>
          <w:szCs w:val="18"/>
          <w:color w:val="auto"/>
        </w:rPr>
        <w:t>13</w:t>
      </w:r>
      <w:r>
        <w:rPr>
          <w:rFonts w:ascii="PMingLiU" w:cs="PMingLiU" w:eastAsia="PMingLiU" w:hAnsi="PMingLiU"/>
          <w:sz w:val="18"/>
          <w:szCs w:val="18"/>
          <w:color w:val="auto"/>
        </w:rPr>
        <w:t>樓</w:t>
      </w:r>
      <w:r>
        <w:rPr>
          <w:rFonts w:ascii="Times New Roman" w:cs="Times New Roman" w:eastAsia="Times New Roman" w:hAnsi="Times New Roman"/>
          <w:sz w:val="18"/>
          <w:szCs w:val="18"/>
          <w:color w:val="auto"/>
        </w:rPr>
        <w:t>1304</w:t>
      </w:r>
      <w:r>
        <w:rPr>
          <w:rFonts w:ascii="PMingLiU" w:cs="PMingLiU" w:eastAsia="PMingLiU" w:hAnsi="PMingLiU"/>
          <w:sz w:val="18"/>
          <w:szCs w:val="18"/>
          <w:color w:val="auto"/>
        </w:rPr>
        <w:t>室</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 (852) 2126 2388 Fax: (852) 2122 9078</w:t>
      </w:r>
    </w:p>
    <w:p>
      <w:pPr>
        <w:spacing w:after="0" w:line="2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Luckin Coffee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comprehensive income, consolidated statements of shareholders’ equity, and consolidated statements of cash flows for the year ended December 31, 2021, and the related notes (collectively referred to as the “consolidated financial statements”). In our opinion, the consolidated financial statements present fairly, in all material respects, the results of its operations and its cash flows for the year ended December 31, 2021,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58315" cy="563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1758315" cy="56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Centurion ZD CPA &amp; Co.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2021 to 2022. In 2022, we became the predecessor auditor.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China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 except for number of shares)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tcPr>
          <w:p>
            <w:pPr>
              <w:jc w:val="right"/>
              <w:ind w:right="213"/>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340" w:type="dxa"/>
            <w:vAlign w:val="bottom"/>
            <w:gridSpan w:val="5"/>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jc w:val="right"/>
              <w:ind w:right="193"/>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auto"/>
            </w:tcBorders>
            <w:gridSpan w:val="3"/>
          </w:tcPr>
          <w:p>
            <w:pPr>
              <w:jc w:val="right"/>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top w:val="single" w:sz="8" w:color="auto"/>
            </w:tcBorders>
          </w:tcPr>
          <w:p>
            <w:pPr>
              <w:jc w:val="right"/>
              <w:ind w:right="212"/>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3,534,304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66,080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 net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1,206,467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1,077,719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deposit-current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6,037,054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7,599,554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1,070,374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1,867,378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4,169,141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327,744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789,492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assets, net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2,003,997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5,186,855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deposit-non current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4,443,343</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10,692,424</w:t>
            </w:r>
          </w:p>
        </w:tc>
        <w:tc>
          <w:tcPr>
            <w:tcW w:w="1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9"/>
              </w:rPr>
              <w:t>1,505,996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10,480,397</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18,291,978</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9"/>
              </w:rPr>
              <w:t>2,576,370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Current liabilities </w:t>
            </w:r>
            <w:r>
              <w:rPr>
                <w:rFonts w:ascii="Times New Roman" w:cs="Times New Roman" w:eastAsia="Times New Roman" w:hAnsi="Times New Roman"/>
                <w:sz w:val="18"/>
                <w:szCs w:val="18"/>
                <w:color w:val="auto"/>
              </w:rPr>
              <w:t>(including amount of the VIE without recourse to the primary</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beneficiaries of RMB2.9 million and RMB4.3 million (US$0.6 million) as of</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2023):</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441,376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814,655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1,375,425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123,422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880,873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1,851,310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2,828,836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5,462,678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769,403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Non-current liabilities </w:t>
            </w:r>
            <w:r>
              <w:rPr>
                <w:rFonts w:ascii="Times New Roman" w:cs="Times New Roman" w:eastAsia="Times New Roman" w:hAnsi="Times New Roman"/>
                <w:sz w:val="18"/>
                <w:szCs w:val="18"/>
                <w:color w:val="auto"/>
              </w:rPr>
              <w:t>(including amount of the VIE without recourse to the</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primary beneficiaries of RMB nil and RMB nil as of December 31, 2022 and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1,024,274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3,114,855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1,024,274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3,114,855</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438,718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3,853,110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8,577,533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1,208,121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2"/>
        </w:trPr>
        <w:tc>
          <w:tcPr>
            <w:tcW w:w="20" w:type="dxa"/>
            <w:vAlign w:val="bottom"/>
          </w:tcPr>
          <w:p>
            <w:pPr>
              <w:spacing w:after="0"/>
              <w:rPr>
                <w:sz w:val="24"/>
                <w:szCs w:val="24"/>
                <w:color w:val="auto"/>
              </w:rPr>
            </w:pPr>
          </w:p>
        </w:tc>
        <w:tc>
          <w:tcPr>
            <w:tcW w:w="608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F-6</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4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500" w:type="dxa"/>
            <w:vAlign w:val="bottom"/>
            <w:gridSpan w:val="4"/>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auto"/>
            </w:tcBorders>
            <w:gridSpan w:val="3"/>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Borders>
              <w:top w:val="single" w:sz="8" w:color="auto"/>
            </w:tcBorders>
          </w:tcPr>
          <w:p>
            <w:pPr>
              <w:jc w:val="right"/>
              <w:ind w:right="31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Convertible senior preferred shares (US$0.000002 par value;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307,692,307 and 307,692,307 shares authorized as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2022 and 2023, respectively; 307,692,307 and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307,692,307 issued and outstanding as of December 31, 2022 and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 respectively)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1,578,040</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1,578,040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222,262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A ordinary shares (US$0.000002 par value; 19,692,307,693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19,692,307,693 shares authorized as of December 31, 2022</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2023, respectively, 2,079,801,956 and 2,093,280,340 issued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outstanding as of December 31, 2022 and 2023, respectively)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B ordinary shares (US$0.000002 par value; 5,000,000,000 and</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5,000,000,000 shares authorized as of December 31, 2022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 respectively; 144,778,552 and 144,778,552 issued and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2022 and 2023, respectively)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16,037,406</w:t>
            </w: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16,276,991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reserves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(11,421,145)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(8,705,759)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397,304</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5,049,247</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8,136,405</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1,145,987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10,480,397</w:t>
            </w: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tcPr>
          <w:p>
            <w:pPr>
              <w:jc w:val="right"/>
              <w:ind w:right="274"/>
              <w:spacing w:after="0" w:line="139"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2"/>
                <w:szCs w:val="12"/>
                <w:color w:val="auto"/>
              </w:rPr>
            </w:pPr>
          </w:p>
        </w:tc>
        <w:tc>
          <w:tcPr>
            <w:tcW w:w="980" w:type="dxa"/>
            <w:vAlign w:val="bottom"/>
          </w:tcPr>
          <w:p>
            <w:pPr>
              <w:jc w:val="right"/>
              <w:ind w:right="294"/>
              <w:spacing w:after="0" w:line="139"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2"/>
                <w:szCs w:val="12"/>
                <w:color w:val="auto"/>
              </w:rPr>
            </w:pPr>
          </w:p>
        </w:tc>
        <w:tc>
          <w:tcPr>
            <w:tcW w:w="1280" w:type="dxa"/>
            <w:vAlign w:val="bottom"/>
            <w:gridSpan w:val="3"/>
          </w:tcPr>
          <w:p>
            <w:pPr>
              <w:jc w:val="right"/>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254"/>
              <w:spacing w:after="0" w:line="13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ind w:right="254"/>
              <w:spacing w:after="0" w:line="13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2"/>
                <w:szCs w:val="12"/>
                <w:color w:val="auto"/>
              </w:rPr>
            </w:pPr>
          </w:p>
        </w:tc>
        <w:tc>
          <w:tcPr>
            <w:tcW w:w="1280" w:type="dxa"/>
            <w:vAlign w:val="bottom"/>
            <w:tcBorders>
              <w:top w:val="single" w:sz="8" w:color="auto"/>
            </w:tcBorders>
            <w:gridSpan w:val="3"/>
          </w:tcPr>
          <w:p>
            <w:pPr>
              <w:jc w:val="right"/>
              <w:ind w:right="620"/>
              <w:spacing w:after="0" w:line="139" w:lineRule="exact"/>
              <w:rPr>
                <w:sz w:val="20"/>
                <w:szCs w:val="20"/>
                <w:color w:val="auto"/>
              </w:rPr>
            </w:pPr>
            <w:r>
              <w:rPr>
                <w:rFonts w:ascii="Times New Roman" w:cs="Times New Roman" w:eastAsia="Times New Roman" w:hAnsi="Times New Roman"/>
                <w:sz w:val="13"/>
                <w:szCs w:val="13"/>
                <w:b w:val="1"/>
                <w:bCs w:val="1"/>
                <w:color w:val="auto"/>
              </w:rPr>
              <w:t>RMB</w:t>
            </w:r>
          </w:p>
        </w:tc>
        <w:tc>
          <w:tcPr>
            <w:tcW w:w="860" w:type="dxa"/>
            <w:vAlign w:val="bottom"/>
            <w:tcBorders>
              <w:top w:val="single" w:sz="8" w:color="auto"/>
            </w:tcBorders>
          </w:tcPr>
          <w:p>
            <w:pPr>
              <w:jc w:val="right"/>
              <w:ind w:right="314"/>
              <w:spacing w:after="0" w:line="139"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Revenues from product sales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6,659,218</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10,223,720</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18,677,390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2,630,655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color w:val="auto"/>
              </w:rPr>
              <w:t>Revenues from partnership stores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1,306,105</w:t>
            </w: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3,069,262</w:t>
            </w: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6,225,776</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876,882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7,965,323</w:t>
            </w:r>
          </w:p>
        </w:tc>
        <w:tc>
          <w:tcPr>
            <w:tcW w:w="160" w:type="dxa"/>
            <w:vAlign w:val="bottom"/>
          </w:tcPr>
          <w:p>
            <w:pPr>
              <w:spacing w:after="0"/>
              <w:rPr>
                <w:sz w:val="12"/>
                <w:szCs w:val="12"/>
                <w:color w:val="auto"/>
              </w:rPr>
            </w:pPr>
          </w:p>
        </w:tc>
        <w:tc>
          <w:tcPr>
            <w:tcW w:w="9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13,292,982</w:t>
            </w:r>
          </w:p>
        </w:tc>
        <w:tc>
          <w:tcPr>
            <w:tcW w:w="160" w:type="dxa"/>
            <w:vAlign w:val="bottom"/>
          </w:tcPr>
          <w:p>
            <w:pPr>
              <w:spacing w:after="0"/>
              <w:rPr>
                <w:sz w:val="12"/>
                <w:szCs w:val="12"/>
                <w:color w:val="auto"/>
              </w:rPr>
            </w:pPr>
          </w:p>
        </w:tc>
        <w:tc>
          <w:tcPr>
            <w:tcW w:w="9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24,903,166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3,507,537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Cost of materials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(3,198,552)</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(5,178,963)</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(10,892,214)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(1,534,136)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Store rental and other operating costs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(2,036,772)</w:t>
            </w: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(2,829,987)</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(5,167,482)</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(727,825)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7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rPr>
              <w:t>7,8</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(465,384)</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(391,936)</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(604,580)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(85,153)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Delivery expenses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(819,549)</w:t>
            </w: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(1,373,219)</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(2,010,699)</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(283,201)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(336,855)</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(570,122)</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(1,286,523)</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(181,203)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(1,269,988)</w:t>
            </w: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(1,459,550)</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(1,829,651)</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(257,701)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Store preopening and other expenses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(16,352)</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(36,012)</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(109,685)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(15,449)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Impairment loss of long-lived assets</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rPr>
              <w:t>7,8</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(21,368)</w:t>
            </w: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(221,810)</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(5,229)</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(736)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Losses and expenses related to Fabricated Transactions and Restructuring</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(339,557)</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(75,204)</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28,515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4,016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(8,504,377)</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(12,136,803)</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(21,877,548)</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(3,081,388)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Operating (loss)/income</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(539,054)</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1,156,179</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3,025,618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426,149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Interest and investment income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102,248</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84,923</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108,682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15,308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Interest and financing expenses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(35,490)</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(23,484)</w:t>
            </w:r>
          </w:p>
        </w:tc>
        <w:tc>
          <w:tcPr>
            <w:tcW w:w="1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3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Foreign exchange gain, net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12,441</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10,661</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2,968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Other (expenses)/income, net</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(16,513)</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60,680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62,283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Fair value changes of derivative asset bifurcated from Series B Senior Secured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160" w:type="dxa"/>
            <w:vAlign w:val="bottom"/>
          </w:tcPr>
          <w:p>
            <w:pPr>
              <w:spacing w:after="0"/>
              <w:rPr>
                <w:sz w:val="13"/>
                <w:szCs w:val="13"/>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Reversal for SEC settlement</w:t>
            </w:r>
          </w:p>
        </w:tc>
        <w:tc>
          <w:tcPr>
            <w:tcW w:w="7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rPr>
              <w:t>19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1,146,474</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shd w:val="clear" w:color="auto" w:fill="CCEEFF"/>
          </w:tcPr>
          <w:p>
            <w:pPr>
              <w:jc w:val="right"/>
              <w:ind w:right="3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Provision for equity litigants settlement</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rPr>
              <w:t>20</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(155,314)</w:t>
            </w: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(279,967)</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(92,192)</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(12,985)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Gain from extinguishment of Series B Senior Secured Notes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124,139</w:t>
            </w:r>
          </w:p>
        </w:tc>
        <w:tc>
          <w:tcPr>
            <w:tcW w:w="1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3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514,792</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1,126,750</w:t>
            </w: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3,107,359</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437,662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Income tax (expense)/benefits</w:t>
            </w:r>
          </w:p>
        </w:tc>
        <w:tc>
          <w:tcPr>
            <w:tcW w:w="78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63,861</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(638,504)</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(259,426)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(36,539)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578,653</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488,246</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2,847,933</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401,123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6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Less: Net income attributable to non-controlling interests</w:t>
            </w:r>
          </w:p>
        </w:tc>
        <w:tc>
          <w:tcPr>
            <w:tcW w:w="7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108</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Net income attributable to the Company’s ordinary shareholders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578,545</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488,246</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2,847,933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401,123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5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income per share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Basic</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0.29</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0.20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Diluted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0.27</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0.19</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456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Weighted average shares outstanding used in calculating basic and diluted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income per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Basic</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2,051,263,478</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2,473,078,408</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2,532,109,710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2,532,109,710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Diluted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2,135,844,257</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2,516,273,627</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2,532,563,302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2,532,563,302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578,653</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488,246</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2,847,933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401,123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(loss)/income, net of tax of nil: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Foreign currency translation difference, net of tax of nil</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102,802</w:t>
            </w:r>
          </w:p>
        </w:tc>
        <w:tc>
          <w:tcPr>
            <w:tcW w:w="160" w:type="dxa"/>
            <w:vAlign w:val="bottom"/>
          </w:tcPr>
          <w:p>
            <w:pPr>
              <w:spacing w:after="0"/>
              <w:rPr>
                <w:sz w:val="12"/>
                <w:szCs w:val="12"/>
                <w:color w:val="auto"/>
              </w:rPr>
            </w:pPr>
          </w:p>
        </w:tc>
        <w:tc>
          <w:tcPr>
            <w:tcW w:w="9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(69,552)</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(360)</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6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Total comprehensive income</w:t>
            </w:r>
          </w:p>
        </w:tc>
        <w:tc>
          <w:tcPr>
            <w:tcW w:w="7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681,455</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418,694</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2,847,573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401,072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Less: total comprehensive income attributable to non-controlling interests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108</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tcPr>
          <w:p>
            <w:pPr>
              <w:jc w:val="right"/>
              <w:ind w:right="3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5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Total comprehensive income attributable to the Company’s ordinary</w:t>
            </w:r>
          </w:p>
        </w:tc>
        <w:tc>
          <w:tcPr>
            <w:tcW w:w="7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681,347</w:t>
            </w:r>
          </w:p>
        </w:tc>
        <w:tc>
          <w:tcPr>
            <w:tcW w:w="1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418,694</w:t>
            </w:r>
          </w:p>
        </w:tc>
        <w:tc>
          <w:tcPr>
            <w:tcW w:w="1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2,847,573</w:t>
            </w: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401,072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Borders>
              <w:bottom w:val="single" w:sz="8" w:color="CCEEFF"/>
            </w:tcBorders>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CONSOLIDATED STATEMENTS OF SHAREHOLDERS’ EQUITY</w:t>
      </w:r>
    </w:p>
    <w:p>
      <w:pPr>
        <w:spacing w:after="0" w:line="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(Amounts in thousands of RMB and US$, except for number of shares)</w:t>
      </w:r>
    </w:p>
    <w:p>
      <w:pPr>
        <w:sectPr>
          <w:pgSz w:w="11900" w:h="16838" w:orient="portrait"/>
          <w:cols w:equalWidth="0" w:num="1">
            <w:col w:w="10820"/>
          </w:cols>
          <w:pgMar w:left="840" w:top="5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00" w:type="dxa"/>
            <w:vAlign w:val="bottom"/>
          </w:tcPr>
          <w:p>
            <w:pPr>
              <w:spacing w:after="0"/>
              <w:rPr>
                <w:sz w:val="13"/>
                <w:szCs w:val="13"/>
                <w:color w:val="auto"/>
              </w:rPr>
            </w:pPr>
          </w:p>
        </w:tc>
        <w:tc>
          <w:tcPr>
            <w:tcW w:w="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Class A ordinary shares</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Class B ordinary shares</w:t>
            </w:r>
          </w:p>
        </w:tc>
        <w:tc>
          <w:tcPr>
            <w:tcW w:w="0" w:type="dxa"/>
            <w:vAlign w:val="bottom"/>
          </w:tcPr>
          <w:p>
            <w:pPr>
              <w:spacing w:after="0"/>
              <w:rPr>
                <w:sz w:val="1"/>
                <w:szCs w:val="1"/>
                <w:color w:val="auto"/>
              </w:rPr>
            </w:pPr>
          </w:p>
        </w:tc>
      </w:tr>
      <w:tr>
        <w:trPr>
          <w:trHeight w:val="126"/>
        </w:trPr>
        <w:tc>
          <w:tcPr>
            <w:tcW w:w="2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2020</w:t>
            </w:r>
          </w:p>
        </w:tc>
        <w:tc>
          <w:tcPr>
            <w:tcW w:w="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jc w:val="right"/>
              <w:ind w:right="179"/>
              <w:spacing w:after="0" w:line="126" w:lineRule="exact"/>
              <w:rPr>
                <w:sz w:val="20"/>
                <w:szCs w:val="20"/>
                <w:color w:val="auto"/>
              </w:rPr>
            </w:pPr>
            <w:r>
              <w:rPr>
                <w:rFonts w:ascii="Times New Roman" w:cs="Times New Roman" w:eastAsia="Times New Roman" w:hAnsi="Times New Roman"/>
                <w:sz w:val="12"/>
                <w:szCs w:val="12"/>
                <w:b w:val="1"/>
                <w:bCs w:val="1"/>
                <w:color w:val="auto"/>
              </w:rPr>
              <w:t>Share</w:t>
            </w:r>
          </w:p>
        </w:tc>
        <w:tc>
          <w:tcPr>
            <w:tcW w:w="560" w:type="dxa"/>
            <w:vAlign w:val="bottom"/>
            <w:tcBorders>
              <w:top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0"/>
                <w:szCs w:val="10"/>
                <w:color w:val="auto"/>
              </w:rPr>
            </w:pPr>
          </w:p>
        </w:tc>
        <w:tc>
          <w:tcPr>
            <w:tcW w:w="800" w:type="dxa"/>
            <w:vAlign w:val="bottom"/>
            <w:tcBorders>
              <w:top w:val="single" w:sz="8" w:color="auto"/>
            </w:tcBorders>
            <w:gridSpan w:val="2"/>
          </w:tcPr>
          <w:p>
            <w:pPr>
              <w:ind w:left="180"/>
              <w:spacing w:after="0" w:line="126" w:lineRule="exact"/>
              <w:rPr>
                <w:sz w:val="20"/>
                <w:szCs w:val="20"/>
                <w:color w:val="auto"/>
              </w:rPr>
            </w:pPr>
            <w:r>
              <w:rPr>
                <w:rFonts w:ascii="Times New Roman" w:cs="Times New Roman" w:eastAsia="Times New Roman" w:hAnsi="Times New Roman"/>
                <w:sz w:val="12"/>
                <w:szCs w:val="12"/>
                <w:b w:val="1"/>
                <w:bCs w:val="1"/>
                <w:color w:val="auto"/>
              </w:rPr>
              <w:t>Share</w:t>
            </w:r>
          </w:p>
        </w:tc>
        <w:tc>
          <w:tcPr>
            <w:tcW w:w="4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26"/>
        </w:trPr>
        <w:tc>
          <w:tcPr>
            <w:tcW w:w="2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8"/>
              </w:rPr>
              <w:t>1,880,396,244</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20</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144,778,552</w:t>
            </w: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line="134"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1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44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8"/>
                <w:szCs w:val="8"/>
                <w:color w:val="auto"/>
              </w:rPr>
            </w:pPr>
          </w:p>
        </w:tc>
        <w:tc>
          <w:tcPr>
            <w:tcW w:w="4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70,061,136</w:t>
            </w:r>
          </w:p>
        </w:tc>
        <w:tc>
          <w:tcPr>
            <w:tcW w:w="5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11</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 based compensation</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Purchase of non-controlling interest in a</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subsidiary</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1,950,457,380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144,778,552</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08"/>
        </w:trPr>
        <w:tc>
          <w:tcPr>
            <w:tcW w:w="21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53,123,768</w:t>
            </w:r>
          </w:p>
        </w:tc>
        <w:tc>
          <w:tcPr>
            <w:tcW w:w="5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11</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 based compensation</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senior notes restructuring</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76,220,808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8"/>
              </w:rPr>
              <w:t>2,079,801,956</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23</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144,778,552</w:t>
            </w: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08"/>
        </w:trPr>
        <w:tc>
          <w:tcPr>
            <w:tcW w:w="21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13,478,384</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11</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Share based compensation</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15</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8"/>
              </w:rPr>
              <w:t>2,093,280,340</w:t>
            </w:r>
          </w:p>
        </w:tc>
        <w:tc>
          <w:tcPr>
            <w:tcW w:w="1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23</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144,778,552</w:t>
            </w: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2023(US$)</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2,093,280,340</w:t>
            </w:r>
          </w:p>
        </w:tc>
        <w:tc>
          <w:tcPr>
            <w:tcW w:w="120" w:type="dxa"/>
            <w:vAlign w:val="bottom"/>
            <w:vMerge w:val="continue"/>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14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144,778,552</w:t>
            </w:r>
          </w:p>
        </w:tc>
        <w:tc>
          <w:tcPr>
            <w:tcW w:w="120" w:type="dxa"/>
            <w:vAlign w:val="bottom"/>
            <w:vMerge w:val="continue"/>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Company’s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14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Non-</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940" w:type="dxa"/>
            <w:vAlign w:val="bottom"/>
            <w:gridSpan w:val="2"/>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Statutory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60" w:type="dxa"/>
            <w:vAlign w:val="bottom"/>
            <w:gridSpan w:val="2"/>
          </w:tcPr>
          <w:p>
            <w:pPr>
              <w:jc w:val="center"/>
              <w:ind w:left="78"/>
              <w:spacing w:after="0"/>
              <w:rPr>
                <w:sz w:val="20"/>
                <w:szCs w:val="20"/>
                <w:color w:val="auto"/>
              </w:rPr>
            </w:pPr>
            <w:r>
              <w:rPr>
                <w:rFonts w:ascii="Times New Roman" w:cs="Times New Roman" w:eastAsia="Times New Roman" w:hAnsi="Times New Roman"/>
                <w:sz w:val="12"/>
                <w:szCs w:val="12"/>
                <w:b w:val="1"/>
                <w:bCs w:val="1"/>
                <w:color w:val="auto"/>
              </w:rPr>
              <w:t>shareholders’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14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deficits</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6"/>
              </w:rPr>
              <w:t>14,744,569</w:t>
            </w: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364,054</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603</w:t>
            </w:r>
          </w:p>
        </w:tc>
        <w:tc>
          <w:tcPr>
            <w:tcW w:w="1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(12,452,882)</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2,656,366</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68,518</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2,724,884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58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5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8"/>
                <w:szCs w:val="8"/>
                <w:color w:val="auto"/>
              </w:rPr>
            </w:pPr>
          </w:p>
        </w:tc>
        <w:tc>
          <w:tcPr>
            <w:tcW w:w="7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578,545</w:t>
            </w:r>
          </w:p>
        </w:tc>
        <w:tc>
          <w:tcPr>
            <w:tcW w:w="140" w:type="dxa"/>
            <w:vAlign w:val="bottom"/>
            <w:vMerge w:val="continue"/>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578,545</w:t>
            </w:r>
          </w:p>
        </w:tc>
        <w:tc>
          <w:tcPr>
            <w:tcW w:w="140" w:type="dxa"/>
            <w:vAlign w:val="bottom"/>
            <w:vMerge w:val="continue"/>
          </w:tcPr>
          <w:p>
            <w:pPr>
              <w:spacing w:after="0"/>
              <w:rPr>
                <w:sz w:val="8"/>
                <w:szCs w:val="8"/>
                <w:color w:val="auto"/>
              </w:rPr>
            </w:pPr>
          </w:p>
        </w:tc>
        <w:tc>
          <w:tcPr>
            <w:tcW w:w="58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108</w:t>
            </w:r>
          </w:p>
        </w:tc>
        <w:tc>
          <w:tcPr>
            <w:tcW w:w="140" w:type="dxa"/>
            <w:vAlign w:val="bottom"/>
          </w:tcPr>
          <w:p>
            <w:pPr>
              <w:spacing w:after="0"/>
              <w:rPr>
                <w:sz w:val="8"/>
                <w:szCs w:val="8"/>
                <w:color w:val="auto"/>
              </w:rPr>
            </w:pPr>
          </w:p>
        </w:tc>
        <w:tc>
          <w:tcPr>
            <w:tcW w:w="6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578,653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102,802</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102,802</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102,802</w:t>
            </w:r>
          </w:p>
        </w:tc>
        <w:tc>
          <w:tcPr>
            <w:tcW w:w="0" w:type="dxa"/>
            <w:vAlign w:val="bottom"/>
          </w:tcPr>
          <w:p>
            <w:pPr>
              <w:spacing w:after="0"/>
              <w:rPr>
                <w:sz w:val="1"/>
                <w:szCs w:val="1"/>
                <w:color w:val="auto"/>
              </w:rPr>
            </w:pPr>
          </w:p>
        </w:tc>
      </w:tr>
      <w:tr>
        <w:trPr>
          <w:trHeight w:val="133"/>
        </w:trPr>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2,014</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(2,014)</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302,734</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302,734</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302,734</w:t>
            </w:r>
          </w:p>
        </w:tc>
        <w:tc>
          <w:tcPr>
            <w:tcW w:w="0" w:type="dxa"/>
            <w:vAlign w:val="bottom"/>
          </w:tcPr>
          <w:p>
            <w:pPr>
              <w:spacing w:after="0"/>
              <w:rPr>
                <w:sz w:val="1"/>
                <w:szCs w:val="1"/>
                <w:color w:val="auto"/>
              </w:rPr>
            </w:pPr>
          </w:p>
        </w:tc>
      </w:tr>
      <w:tr>
        <w:trPr>
          <w:trHeight w:val="235"/>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(9,310)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(68,626)</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(77,936)</w:t>
            </w:r>
          </w:p>
        </w:tc>
        <w:tc>
          <w:tcPr>
            <w:tcW w:w="0" w:type="dxa"/>
            <w:vAlign w:val="bottom"/>
          </w:tcPr>
          <w:p>
            <w:pPr>
              <w:spacing w:after="0"/>
              <w:rPr>
                <w:sz w:val="1"/>
                <w:szCs w:val="1"/>
                <w:color w:val="auto"/>
              </w:rPr>
            </w:pPr>
          </w:p>
        </w:tc>
      </w:tr>
      <w:tr>
        <w:trPr>
          <w:trHeight w:val="153"/>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15,037,992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466,856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2,617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(11,876,351)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3,631,137</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3,631,137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488,246</w:t>
            </w:r>
          </w:p>
        </w:tc>
        <w:tc>
          <w:tcPr>
            <w:tcW w:w="140" w:type="dxa"/>
            <w:vAlign w:val="bottom"/>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488,246</w:t>
            </w:r>
          </w:p>
        </w:tc>
        <w:tc>
          <w:tcPr>
            <w:tcW w:w="140" w:type="dxa"/>
            <w:vAlign w:val="bottom"/>
          </w:tcPr>
          <w:p>
            <w:pPr>
              <w:spacing w:after="0"/>
              <w:rPr>
                <w:sz w:val="9"/>
                <w:szCs w:val="9"/>
                <w:color w:val="auto"/>
              </w:rPr>
            </w:pPr>
          </w:p>
        </w:tc>
        <w:tc>
          <w:tcPr>
            <w:tcW w:w="5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488,246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(69,552)</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(69,552)</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(69,552)</w:t>
            </w:r>
          </w:p>
        </w:tc>
        <w:tc>
          <w:tcPr>
            <w:tcW w:w="0" w:type="dxa"/>
            <w:vAlign w:val="bottom"/>
          </w:tcPr>
          <w:p>
            <w:pPr>
              <w:spacing w:after="0"/>
              <w:rPr>
                <w:sz w:val="1"/>
                <w:szCs w:val="1"/>
                <w:color w:val="auto"/>
              </w:rPr>
            </w:pPr>
          </w:p>
        </w:tc>
      </w:tr>
      <w:tr>
        <w:trPr>
          <w:trHeight w:val="133"/>
        </w:trPr>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33,040</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(33,040)</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398,008</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398,008</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398,008</w:t>
            </w:r>
          </w:p>
        </w:tc>
        <w:tc>
          <w:tcPr>
            <w:tcW w:w="0" w:type="dxa"/>
            <w:vAlign w:val="bottom"/>
          </w:tcPr>
          <w:p>
            <w:pPr>
              <w:spacing w:after="0"/>
              <w:rPr>
                <w:sz w:val="1"/>
                <w:szCs w:val="1"/>
                <w:color w:val="auto"/>
              </w:rPr>
            </w:pPr>
          </w:p>
        </w:tc>
      </w:tr>
      <w:tr>
        <w:trPr>
          <w:trHeight w:val="151"/>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601,407</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601,408</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601,408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6"/>
              </w:rPr>
              <w:t>16,037,406</w:t>
            </w: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397,304</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35,657</w:t>
            </w:r>
          </w:p>
        </w:tc>
        <w:tc>
          <w:tcPr>
            <w:tcW w:w="1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(11,421,145)</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5,049,247</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5,049,247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2,847,933</w:t>
            </w: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2,847,933</w:t>
            </w:r>
          </w:p>
        </w:tc>
        <w:tc>
          <w:tcPr>
            <w:tcW w:w="14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2,847,933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(360)</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(360)</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(360)</w:t>
            </w:r>
          </w:p>
        </w:tc>
        <w:tc>
          <w:tcPr>
            <w:tcW w:w="0" w:type="dxa"/>
            <w:vAlign w:val="bottom"/>
          </w:tcPr>
          <w:p>
            <w:pPr>
              <w:spacing w:after="0"/>
              <w:rPr>
                <w:sz w:val="1"/>
                <w:szCs w:val="1"/>
                <w:color w:val="auto"/>
              </w:rPr>
            </w:pPr>
          </w:p>
        </w:tc>
      </w:tr>
      <w:tr>
        <w:trPr>
          <w:trHeight w:val="133"/>
        </w:trPr>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79</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79</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132,547</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(132,547)</w:t>
            </w: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239,506</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239,506</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239,506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6"/>
              </w:rPr>
              <w:t>16,276,991</w:t>
            </w:r>
          </w:p>
        </w:tc>
        <w:tc>
          <w:tcPr>
            <w:tcW w:w="14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396,944</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168,204</w:t>
            </w:r>
          </w:p>
        </w:tc>
        <w:tc>
          <w:tcPr>
            <w:tcW w:w="14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(8,705,759)</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8,136,405</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8,136,405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2,292,566</w:t>
            </w:r>
          </w:p>
        </w:tc>
        <w:tc>
          <w:tcPr>
            <w:tcW w:w="140" w:type="dxa"/>
            <w:vAlign w:val="bottom"/>
            <w:vMerge w:val="continue"/>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55,908</w:t>
            </w:r>
          </w:p>
        </w:tc>
        <w:tc>
          <w:tcPr>
            <w:tcW w:w="120" w:type="dxa"/>
            <w:vAlign w:val="bottom"/>
            <w:vMerge w:val="continue"/>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23,691</w:t>
            </w:r>
          </w:p>
        </w:tc>
        <w:tc>
          <w:tcPr>
            <w:tcW w:w="140" w:type="dxa"/>
            <w:vAlign w:val="bottom"/>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(1,226,181)</w:t>
            </w:r>
          </w:p>
        </w:tc>
        <w:tc>
          <w:tcPr>
            <w:tcW w:w="140" w:type="dxa"/>
            <w:vAlign w:val="bottom"/>
            <w:vMerge w:val="continue"/>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1,145,987</w:t>
            </w:r>
          </w:p>
        </w:tc>
        <w:tc>
          <w:tcPr>
            <w:tcW w:w="140" w:type="dxa"/>
            <w:vAlign w:val="bottom"/>
            <w:vMerge w:val="continue"/>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vMerge w:val="continue"/>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1,145,987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-2045970</wp:posOffset>
            </wp:positionV>
            <wp:extent cx="6868795" cy="1009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6868795" cy="10096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-1844040</wp:posOffset>
            </wp:positionV>
            <wp:extent cx="6868795" cy="844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-1675765</wp:posOffset>
            </wp:positionV>
            <wp:extent cx="6868795" cy="844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-1507490</wp:posOffset>
            </wp:positionV>
            <wp:extent cx="6868795" cy="168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6868795" cy="16827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-1254760</wp:posOffset>
            </wp:positionV>
            <wp:extent cx="6868795" cy="927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6868795" cy="9271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-1078230</wp:posOffset>
            </wp:positionV>
            <wp:extent cx="6868795" cy="844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-909955</wp:posOffset>
            </wp:positionV>
            <wp:extent cx="6868795" cy="844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-741680</wp:posOffset>
            </wp:positionV>
            <wp:extent cx="6868795" cy="927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6868795" cy="9271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-556895</wp:posOffset>
            </wp:positionV>
            <wp:extent cx="6868795" cy="844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-388620</wp:posOffset>
            </wp:positionV>
            <wp:extent cx="6868795" cy="844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6868795" cy="8445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-220345</wp:posOffset>
            </wp:positionV>
            <wp:extent cx="6868795" cy="1009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6868795" cy="10096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5320" w:space="120"/>
            <w:col w:w="5380"/>
          </w:cols>
          <w:pgMar w:left="840" w:top="506" w:right="23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351155</wp:posOffset>
            </wp:positionV>
            <wp:extent cx="647827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6478270" cy="17145"/>
                    </a:xfrm>
                    <a:prstGeom prst="rect">
                      <a:avLst/>
                    </a:prstGeom>
                    <a:noFill/>
                  </pic:spPr>
                </pic:pic>
              </a:graphicData>
            </a:graphic>
          </wp:anchor>
        </w:drawing>
      </w:r>
    </w:p>
    <w:p>
      <w:pPr>
        <w:sectPr>
          <w:pgSz w:w="11900" w:h="16838" w:orient="portrait"/>
          <w:cols w:equalWidth="0" w:num="1">
            <w:col w:w="10820"/>
          </w:cols>
          <w:pgMar w:left="840" w:top="506" w:right="2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w w:val="94"/>
              </w:rPr>
              <w:t>For the year ended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Borders>
              <w:bottom w:val="single" w:sz="8" w:color="auto"/>
            </w:tcBorders>
          </w:tcPr>
          <w:p>
            <w:pPr>
              <w:jc w:val="right"/>
              <w:ind w:right="327"/>
              <w:spacing w:after="0" w:line="113" w:lineRule="exact"/>
              <w:rPr>
                <w:sz w:val="20"/>
                <w:szCs w:val="20"/>
                <w:color w:val="auto"/>
              </w:rPr>
            </w:pPr>
            <w:r>
              <w:rPr>
                <w:rFonts w:ascii="Times New Roman" w:cs="Times New Roman" w:eastAsia="Times New Roman" w:hAnsi="Times New Roman"/>
                <w:sz w:val="11"/>
                <w:szCs w:val="11"/>
                <w:b w:val="1"/>
                <w:bCs w:val="1"/>
                <w:color w:val="auto"/>
              </w:rPr>
              <w:t>2021</w:t>
            </w:r>
          </w:p>
        </w:tc>
        <w:tc>
          <w:tcPr>
            <w:tcW w:w="200" w:type="dxa"/>
            <w:vAlign w:val="bottom"/>
          </w:tcPr>
          <w:p>
            <w:pPr>
              <w:spacing w:after="0"/>
              <w:rPr>
                <w:sz w:val="9"/>
                <w:szCs w:val="9"/>
                <w:color w:val="auto"/>
              </w:rPr>
            </w:pPr>
          </w:p>
        </w:tc>
        <w:tc>
          <w:tcPr>
            <w:tcW w:w="1000" w:type="dxa"/>
            <w:vAlign w:val="bottom"/>
            <w:tcBorders>
              <w:bottom w:val="single" w:sz="8" w:color="auto"/>
            </w:tcBorders>
          </w:tcPr>
          <w:p>
            <w:pPr>
              <w:jc w:val="right"/>
              <w:ind w:right="347"/>
              <w:spacing w:after="0" w:line="113"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3"/>
          </w:tcPr>
          <w:p>
            <w:pPr>
              <w:jc w:val="right"/>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jc w:val="right"/>
              <w:ind w:right="307"/>
              <w:spacing w:after="0" w:line="113"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9"/>
                <w:szCs w:val="9"/>
                <w:color w:val="auto"/>
              </w:rPr>
            </w:pPr>
          </w:p>
        </w:tc>
        <w:tc>
          <w:tcPr>
            <w:tcW w:w="1000" w:type="dxa"/>
            <w:vAlign w:val="bottom"/>
          </w:tcPr>
          <w:p>
            <w:pPr>
              <w:jc w:val="right"/>
              <w:ind w:right="327"/>
              <w:spacing w:after="0" w:line="113"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3"/>
          </w:tcPr>
          <w:p>
            <w:pPr>
              <w:jc w:val="right"/>
              <w:ind w:right="780"/>
              <w:spacing w:after="0" w:line="113" w:lineRule="exact"/>
              <w:rPr>
                <w:sz w:val="20"/>
                <w:szCs w:val="20"/>
                <w:color w:val="auto"/>
              </w:rPr>
            </w:pPr>
            <w:r>
              <w:rPr>
                <w:rFonts w:ascii="Times New Roman" w:cs="Times New Roman" w:eastAsia="Times New Roman" w:hAnsi="Times New Roman"/>
                <w:sz w:val="11"/>
                <w:szCs w:val="11"/>
                <w:b w:val="1"/>
                <w:bCs w:val="1"/>
                <w:color w:val="auto"/>
              </w:rPr>
              <w:t>RMB</w:t>
            </w:r>
          </w:p>
        </w:tc>
        <w:tc>
          <w:tcPr>
            <w:tcW w:w="780" w:type="dxa"/>
            <w:vAlign w:val="bottom"/>
          </w:tcPr>
          <w:p>
            <w:pPr>
              <w:jc w:val="right"/>
              <w:ind w:right="347"/>
              <w:spacing w:after="0" w:line="113" w:lineRule="exact"/>
              <w:rPr>
                <w:sz w:val="20"/>
                <w:szCs w:val="20"/>
                <w:color w:val="auto"/>
              </w:rPr>
            </w:pPr>
            <w:r>
              <w:rPr>
                <w:rFonts w:ascii="Times New Roman" w:cs="Times New Roman" w:eastAsia="Times New Roman" w:hAnsi="Times New Roman"/>
                <w:sz w:val="11"/>
                <w:szCs w:val="11"/>
                <w:b w:val="1"/>
                <w:bCs w:val="1"/>
                <w:color w:val="auto"/>
              </w:rPr>
              <w:t>US$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578,653</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488,246</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2,847,933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401,123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Foreign exchange gain, net</w:t>
            </w:r>
          </w:p>
        </w:tc>
        <w:tc>
          <w:tcPr>
            <w:tcW w:w="118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(12,441)</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(10,661)</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(2,968)</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Loss on disposal of property and equipment</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4,834</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9,884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12,713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1,791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465,384</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391,936</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604,580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85,153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Amortization of operating lease right-of-use assets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672,910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854,646</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1,399,217</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197,076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Change in the fair value of derivative asset bifurcated from Series B Senior Secured Notes</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6,381</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Impairment of long-lived assets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21,368</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221,810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5,229</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736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Gain from extinguishment of Series B Senior Secured Notes</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(124,139)</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Allowance for prepayments and accounts receivable</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4,467</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18,069</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(3,194)</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(450)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Deferred income tax</w:t>
            </w:r>
          </w:p>
        </w:tc>
        <w:tc>
          <w:tcPr>
            <w:tcW w:w="118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(64,221)</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494,472</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(141,613)</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(19,946)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Interest expenses of convertible senior notes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35,490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19,855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302,734</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398,008</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239,506</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33,734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Reversal for SEC settlement</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(1,146,474)</w:t>
            </w:r>
          </w:p>
        </w:tc>
        <w:tc>
          <w:tcPr>
            <w:tcW w:w="1540" w:type="dxa"/>
            <w:vAlign w:val="bottom"/>
            <w:gridSpan w:val="3"/>
            <w:shd w:val="clear" w:color="auto" w:fill="CCEEFF"/>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Donation of inventory</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3,889</w:t>
            </w:r>
          </w:p>
        </w:tc>
        <w:tc>
          <w:tcPr>
            <w:tcW w:w="200" w:type="dxa"/>
            <w:vAlign w:val="bottom"/>
          </w:tcPr>
          <w:p>
            <w:pPr>
              <w:spacing w:after="0"/>
              <w:rPr>
                <w:sz w:val="10"/>
                <w:szCs w:val="10"/>
                <w:color w:val="auto"/>
              </w:rPr>
            </w:pPr>
          </w:p>
        </w:tc>
        <w:tc>
          <w:tcPr>
            <w:tcW w:w="1540" w:type="dxa"/>
            <w:vAlign w:val="bottom"/>
            <w:gridSpan w:val="3"/>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Accounts receivable</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(22,431)</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(20,994)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(21,685)</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(3,054)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Inventories</w:t>
            </w:r>
          </w:p>
        </w:tc>
        <w:tc>
          <w:tcPr>
            <w:tcW w:w="118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(316,673)</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(604,055)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(988,322)</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(139,202)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Receivables from online payment platforms</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(145,834)</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19,640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(62,241)</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(8,766)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8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(101,868)</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(60,514)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(489,374)</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(68,928)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Other non-current assets</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(20,548)</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(64,132)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(216,260)</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(30,460)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Accounts payable</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84,005</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147,676</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373,203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52,565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254,094</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107,095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675,313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95,116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Deferred revenues</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8,038</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1,154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26,056</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3,670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Operating lease liabilities</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(637,243)</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(875,653)</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(1,442,016)</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(203,104)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Payable for equity litigants settlement</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155,314</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(1,398,906)</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84,348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11,880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Borders>
              <w:bottom w:val="single" w:sz="8" w:color="CCEEFF"/>
            </w:tcBorders>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123,447</w:t>
            </w:r>
          </w:p>
        </w:tc>
        <w:tc>
          <w:tcPr>
            <w:tcW w:w="20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19,818</w:t>
            </w:r>
          </w:p>
        </w:tc>
        <w:tc>
          <w:tcPr>
            <w:tcW w:w="2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2,900,425</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408,516</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3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(173,217)</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(781,676)</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(2,750,220)</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(387,360)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Payment for land use right</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(19,344)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(6,478)</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Cash received from disposal of property and equipment</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1,490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2,974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1,982</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3"/>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(1,550,000)</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(218,313)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Proceeds received from maturity of short-term investments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250,000</w:t>
            </w:r>
          </w:p>
        </w:tc>
        <w:tc>
          <w:tcPr>
            <w:tcW w:w="200" w:type="dxa"/>
            <w:vAlign w:val="bottom"/>
            <w:shd w:val="clear" w:color="auto" w:fill="CCEEFF"/>
          </w:tcPr>
          <w:p>
            <w:pPr>
              <w:spacing w:after="0"/>
              <w:rPr>
                <w:sz w:val="10"/>
                <w:szCs w:val="10"/>
                <w:color w:val="auto"/>
              </w:rPr>
            </w:pPr>
          </w:p>
        </w:tc>
        <w:tc>
          <w:tcPr>
            <w:tcW w:w="1540" w:type="dxa"/>
            <w:vAlign w:val="bottom"/>
            <w:gridSpan w:val="3"/>
            <w:shd w:val="clear" w:color="auto" w:fill="CCEEFF"/>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1,450,000</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204,228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Repayment of contribution from noncontrolling interest in a subsidiary</w:t>
            </w:r>
          </w:p>
        </w:tc>
        <w:tc>
          <w:tcPr>
            <w:tcW w:w="118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(77,936)</w:t>
            </w:r>
          </w:p>
        </w:tc>
        <w:tc>
          <w:tcPr>
            <w:tcW w:w="1540" w:type="dxa"/>
            <w:vAlign w:val="bottom"/>
            <w:gridSpan w:val="3"/>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Floating interest received from structured deposits</w:t>
            </w:r>
          </w:p>
        </w:tc>
        <w:tc>
          <w:tcPr>
            <w:tcW w:w="1180" w:type="dxa"/>
            <w:vAlign w:val="bottom"/>
            <w:gridSpan w:val="2"/>
            <w:shd w:val="clear" w:color="auto" w:fill="CCEEFF"/>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3"/>
            <w:shd w:val="clear" w:color="auto" w:fill="CCEEFF"/>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22,545</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3,175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Purchases of term deposit</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3"/>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(657,527)</w:t>
            </w: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(92,611)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Proceeds received from maturity of term deposit</w:t>
            </w:r>
          </w:p>
        </w:tc>
        <w:tc>
          <w:tcPr>
            <w:tcW w:w="1180" w:type="dxa"/>
            <w:vAlign w:val="bottom"/>
            <w:gridSpan w:val="2"/>
            <w:shd w:val="clear" w:color="auto" w:fill="CCEEFF"/>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3"/>
            <w:shd w:val="clear" w:color="auto" w:fill="CCEEFF"/>
          </w:tcPr>
          <w:p>
            <w:pPr>
              <w:jc w:val="right"/>
              <w:ind w:right="580"/>
              <w:spacing w:after="0" w:line="120"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42,599</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6,000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Net cash (used in)/provided by investing activities</w:t>
            </w:r>
          </w:p>
        </w:tc>
        <w:tc>
          <w:tcPr>
            <w:tcW w:w="98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337</w:t>
            </w:r>
          </w:p>
        </w:tc>
        <w:tc>
          <w:tcPr>
            <w:tcW w:w="20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(798,046)</w:t>
            </w:r>
          </w:p>
        </w:tc>
        <w:tc>
          <w:tcPr>
            <w:tcW w:w="2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(3,447,099)</w:t>
            </w:r>
          </w:p>
        </w:tc>
        <w:tc>
          <w:tcPr>
            <w:tcW w:w="2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(485,514)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Proceeds from issuance of convertible senior preferred shares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1,514,660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63,380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Repayment of convertible senior notes</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(1,560,105)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Repayment of Series B Secured Notes (the “New Notes”)</w:t>
            </w:r>
          </w:p>
        </w:tc>
        <w:tc>
          <w:tcPr>
            <w:tcW w:w="1180" w:type="dxa"/>
            <w:vAlign w:val="bottom"/>
            <w:gridSpan w:val="2"/>
            <w:shd w:val="clear" w:color="auto" w:fill="CCEEFF"/>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(779,535)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Net cash provided by/(used in) financing activities</w:t>
            </w:r>
          </w:p>
        </w:tc>
        <w:tc>
          <w:tcPr>
            <w:tcW w:w="98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1,514,660</w:t>
            </w:r>
          </w:p>
        </w:tc>
        <w:tc>
          <w:tcPr>
            <w:tcW w:w="200" w:type="dxa"/>
            <w:vAlign w:val="bottom"/>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(2,276,260)</w:t>
            </w:r>
          </w:p>
        </w:tc>
        <w:tc>
          <w:tcPr>
            <w:tcW w:w="2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Effect of foreign exchange rate changes on cash and cash equivalents and restricted cash</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(22,215)</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77,133</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7,398</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1,042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34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Net (decrease)/ increase in cash and cash equivalents and restricted cash</w:t>
            </w:r>
          </w:p>
        </w:tc>
        <w:tc>
          <w:tcPr>
            <w:tcW w:w="9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1,616,229</w:t>
            </w:r>
          </w:p>
        </w:tc>
        <w:tc>
          <w:tcPr>
            <w:tcW w:w="200" w:type="dxa"/>
            <w:vAlign w:val="bottom"/>
          </w:tcPr>
          <w:p>
            <w:pPr>
              <w:spacing w:after="0"/>
              <w:rPr>
                <w:sz w:val="9"/>
                <w:szCs w:val="9"/>
                <w:color w:val="auto"/>
              </w:rPr>
            </w:pPr>
          </w:p>
        </w:tc>
        <w:tc>
          <w:tcPr>
            <w:tcW w:w="10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(2,977,355)</w:t>
            </w:r>
          </w:p>
        </w:tc>
        <w:tc>
          <w:tcPr>
            <w:tcW w:w="2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(539,276)</w:t>
            </w: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color w:val="auto"/>
              </w:rPr>
              <w:t>(75,956)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Cash and cash equivalents and restricted cash at beginning of years</w:t>
            </w:r>
          </w:p>
        </w:tc>
        <w:tc>
          <w:tcPr>
            <w:tcW w:w="9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4,939,045</w:t>
            </w:r>
          </w:p>
        </w:tc>
        <w:tc>
          <w:tcPr>
            <w:tcW w:w="200" w:type="dxa"/>
            <w:vAlign w:val="bottom"/>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6,555,274</w:t>
            </w:r>
          </w:p>
        </w:tc>
        <w:tc>
          <w:tcPr>
            <w:tcW w:w="2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3,577,919</w:t>
            </w:r>
          </w:p>
        </w:tc>
        <w:tc>
          <w:tcPr>
            <w:tcW w:w="2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503,939</w:t>
            </w: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534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years</w:t>
            </w:r>
          </w:p>
        </w:tc>
        <w:tc>
          <w:tcPr>
            <w:tcW w:w="9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6,555,274</w:t>
            </w:r>
          </w:p>
        </w:tc>
        <w:tc>
          <w:tcPr>
            <w:tcW w:w="20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3,577,919</w:t>
            </w:r>
          </w:p>
        </w:tc>
        <w:tc>
          <w:tcPr>
            <w:tcW w:w="2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3,038,643</w:t>
            </w:r>
          </w:p>
        </w:tc>
        <w:tc>
          <w:tcPr>
            <w:tcW w:w="2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427,983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3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Interests received</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103,863</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88,517</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101,753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14,332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Interests paid, net of capitalization</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(34,148)</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Income taxes paid</w:t>
            </w:r>
          </w:p>
        </w:tc>
        <w:tc>
          <w:tcPr>
            <w:tcW w:w="118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(1,200)</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(68,802)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(426,744)</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(60,106)</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Supplemental disclosures of non-cash activities:</w:t>
            </w: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Purchase of property and equipment included in accrued expenses and other liabilities</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46,659</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120,227</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438,554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61,769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Obtaining right-of-use assets in exchange for lease liabilities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947,853</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1,552,538</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4,463,919</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628,730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Shares issued in restructuring of the Notes</w:t>
            </w:r>
          </w:p>
        </w:tc>
        <w:tc>
          <w:tcPr>
            <w:tcW w:w="1180" w:type="dxa"/>
            <w:vAlign w:val="bottom"/>
            <w:gridSpan w:val="2"/>
          </w:tcPr>
          <w:p>
            <w:pPr>
              <w:jc w:val="right"/>
              <w:ind w:right="240"/>
              <w:spacing w:after="0" w:line="120"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601,408</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3"/>
          </w:tcPr>
          <w:p>
            <w:pPr>
              <w:jc w:val="right"/>
              <w:ind w:right="460"/>
              <w:spacing w:after="0" w:line="12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Cash and cash equivalents</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6,477,636</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3,534,304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2,925,709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412,077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Current restricted cash</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58,200</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7,860</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66,080</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9,307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Non-current restricted cash</w:t>
            </w:r>
          </w:p>
        </w:tc>
        <w:tc>
          <w:tcPr>
            <w:tcW w:w="9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19,438</w:t>
            </w:r>
          </w:p>
        </w:tc>
        <w:tc>
          <w:tcPr>
            <w:tcW w:w="200" w:type="dxa"/>
            <w:vAlign w:val="bottom"/>
          </w:tcPr>
          <w:p>
            <w:pPr>
              <w:spacing w:after="0"/>
              <w:rPr>
                <w:sz w:val="10"/>
                <w:szCs w:val="10"/>
                <w:color w:val="auto"/>
              </w:rPr>
            </w:pPr>
          </w:p>
        </w:tc>
        <w:tc>
          <w:tcPr>
            <w:tcW w:w="10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35,755</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46,854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6,599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Total cash, cash equivalents and restricted cash in the statements of cashflows</w:t>
            </w:r>
          </w:p>
        </w:tc>
        <w:tc>
          <w:tcPr>
            <w:tcW w:w="9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6,555,274</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3,577,919</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3,038,643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427,983</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19"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Luckin Coffee Inc. (the “Company”) was incorporated in the Cayman Islands on June 16, 2017 under the Cayman Islands Companies Act (2021 Revision) (the “Companies Act”) as an exempted company with limited liability. The Company through its consolidated subsidiaries and variable interest entity (the “VIE”) (collectively, the “Group”) are principally engaged in the provision of retail services for high-quality and affordable freshly brewed drinks and pre-made food and beverage items in the People’s Republic of China (the “PRC” or “China”).</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In 2023, the details of the Company’s principal subsidiaries and VIE are as follows:</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640" w:type="dxa"/>
            <w:vAlign w:val="bottom"/>
          </w:tcPr>
          <w:p>
            <w:pPr>
              <w:jc w:val="center"/>
              <w:ind w:left="191"/>
              <w:spacing w:after="0" w:line="146" w:lineRule="exact"/>
              <w:rPr>
                <w:sz w:val="20"/>
                <w:szCs w:val="20"/>
                <w:color w:val="auto"/>
              </w:rPr>
            </w:pPr>
            <w:r>
              <w:rPr>
                <w:rFonts w:ascii="Times New Roman" w:cs="Times New Roman" w:eastAsia="Times New Roman" w:hAnsi="Times New Roman"/>
                <w:sz w:val="14"/>
                <w:szCs w:val="14"/>
                <w:b w:val="1"/>
                <w:bCs w:val="1"/>
                <w:color w:val="auto"/>
                <w:w w:val="97"/>
              </w:rPr>
              <w:t>direct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40" w:type="dxa"/>
            <w:vAlign w:val="bottom"/>
          </w:tcPr>
          <w:p>
            <w:pPr>
              <w:jc w:val="center"/>
              <w:ind w:left="191"/>
              <w:spacing w:after="0" w:line="146" w:lineRule="exact"/>
              <w:rPr>
                <w:sz w:val="20"/>
                <w:szCs w:val="20"/>
                <w:color w:val="auto"/>
              </w:rPr>
            </w:pPr>
            <w:r>
              <w:rPr>
                <w:rFonts w:ascii="Times New Roman" w:cs="Times New Roman" w:eastAsia="Times New Roman" w:hAnsi="Times New Roman"/>
                <w:sz w:val="14"/>
                <w:szCs w:val="14"/>
                <w:b w:val="1"/>
                <w:bCs w:val="1"/>
                <w:color w:val="auto"/>
                <w:w w:val="97"/>
              </w:rPr>
              <w:t>or indirect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0"/>
        </w:trPr>
        <w:tc>
          <w:tcPr>
            <w:tcW w:w="2400" w:type="dxa"/>
            <w:vAlign w:val="bottom"/>
            <w:gridSpan w:val="6"/>
            <w:vMerge w:val="continue"/>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4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w w:val="93"/>
              </w:rPr>
              <w:t>Subsidiaries:</w:t>
            </w:r>
          </w:p>
        </w:tc>
        <w:tc>
          <w:tcPr>
            <w:tcW w:w="1660" w:type="dxa"/>
            <w:vAlign w:val="bottom"/>
            <w:tcBorders>
              <w:bottom w:val="single" w:sz="8" w:color="CCEEFF"/>
            </w:tcBorders>
            <w:gridSpan w:val="3"/>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16" w:lineRule="exact"/>
              <w:rPr>
                <w:sz w:val="20"/>
                <w:szCs w:val="20"/>
                <w:color w:val="auto"/>
              </w:rPr>
            </w:pPr>
            <w:r>
              <w:rPr>
                <w:rFonts w:ascii="Times New Roman" w:cs="Times New Roman" w:eastAsia="Times New Roman" w:hAnsi="Times New Roman"/>
                <w:sz w:val="13"/>
                <w:szCs w:val="13"/>
                <w:color w:val="auto"/>
              </w:rPr>
              <w:t>Luckin Coffee Investment Inc.</w:t>
            </w:r>
          </w:p>
        </w:tc>
        <w:tc>
          <w:tcPr>
            <w:tcW w:w="10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color w:val="auto"/>
              </w:rPr>
              <w:t>June 16, 2017</w:t>
            </w:r>
          </w:p>
        </w:tc>
        <w:tc>
          <w:tcPr>
            <w:tcW w:w="104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color w:val="auto"/>
              </w:rPr>
              <w:t>British Virgin</w:t>
            </w:r>
          </w:p>
        </w:tc>
        <w:tc>
          <w:tcPr>
            <w:tcW w:w="1640" w:type="dxa"/>
            <w:vAlign w:val="bottom"/>
          </w:tcPr>
          <w:p>
            <w:pPr>
              <w:jc w:val="center"/>
              <w:ind w:left="191"/>
              <w:spacing w:after="0" w:line="116" w:lineRule="exact"/>
              <w:rPr>
                <w:sz w:val="20"/>
                <w:szCs w:val="20"/>
                <w:color w:val="auto"/>
              </w:rPr>
            </w:pPr>
            <w:r>
              <w:rPr>
                <w:rFonts w:ascii="Times New Roman" w:cs="Times New Roman" w:eastAsia="Times New Roman" w:hAnsi="Times New Roman"/>
                <w:sz w:val="13"/>
                <w:szCs w:val="13"/>
                <w:color w:val="auto"/>
              </w:rPr>
              <w:t>100</w:t>
            </w:r>
          </w:p>
        </w:tc>
        <w:tc>
          <w:tcPr>
            <w:tcW w:w="3160" w:type="dxa"/>
            <w:vAlign w:val="bottom"/>
            <w:gridSpan w:val="3"/>
          </w:tcPr>
          <w:p>
            <w:pPr>
              <w:ind w:left="260"/>
              <w:spacing w:after="0" w:line="116" w:lineRule="exact"/>
              <w:rPr>
                <w:sz w:val="20"/>
                <w:szCs w:val="20"/>
                <w:color w:val="auto"/>
              </w:rPr>
            </w:pPr>
            <w:r>
              <w:rPr>
                <w:rFonts w:ascii="Times New Roman" w:cs="Times New Roman" w:eastAsia="Times New Roman" w:hAnsi="Times New Roman"/>
                <w:sz w:val="13"/>
                <w:szCs w:val="13"/>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(“Luckin BVI”)</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Islands</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Luckin Coffee International Holdings</w:t>
            </w:r>
          </w:p>
        </w:tc>
        <w:tc>
          <w:tcPr>
            <w:tcW w:w="1060" w:type="dxa"/>
            <w:vAlign w:val="bottom"/>
            <w:gridSpan w:val="2"/>
            <w:shd w:val="clear" w:color="auto" w:fill="CCEEFF"/>
          </w:tcPr>
          <w:p>
            <w:pPr>
              <w:jc w:val="center"/>
              <w:ind w:right="180"/>
              <w:spacing w:after="0" w:line="123" w:lineRule="exact"/>
              <w:rPr>
                <w:sz w:val="20"/>
                <w:szCs w:val="20"/>
                <w:color w:val="auto"/>
              </w:rPr>
            </w:pPr>
            <w:r>
              <w:rPr>
                <w:rFonts w:ascii="Times New Roman" w:cs="Times New Roman" w:eastAsia="Times New Roman" w:hAnsi="Times New Roman"/>
                <w:sz w:val="14"/>
                <w:szCs w:val="14"/>
                <w:color w:val="auto"/>
              </w:rPr>
              <w:t>February 20,</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7"/>
              </w:rPr>
              <w:t>British Virgin</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 (“Luckin International BVI”)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Islands</w:t>
            </w: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23" w:lineRule="exact"/>
              <w:rPr>
                <w:sz w:val="20"/>
                <w:szCs w:val="20"/>
                <w:color w:val="auto"/>
              </w:rPr>
            </w:pPr>
            <w:r>
              <w:rPr>
                <w:rFonts w:ascii="Times New Roman" w:cs="Times New Roman" w:eastAsia="Times New Roman" w:hAnsi="Times New Roman"/>
                <w:sz w:val="14"/>
                <w:szCs w:val="14"/>
                <w:color w:val="auto"/>
              </w:rPr>
              <w:t>Luckin Coffee (SGP) PTE. LTD</w:t>
            </w:r>
          </w:p>
        </w:tc>
        <w:tc>
          <w:tcPr>
            <w:tcW w:w="106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August 11,</w:t>
            </w:r>
          </w:p>
        </w:tc>
        <w:tc>
          <w:tcPr>
            <w:tcW w:w="10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8"/>
              </w:rPr>
              <w:t>Singapore</w:t>
            </w:r>
          </w:p>
        </w:tc>
        <w:tc>
          <w:tcPr>
            <w:tcW w:w="1640" w:type="dxa"/>
            <w:vAlign w:val="bottom"/>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tcPr>
          <w:p>
            <w:pPr>
              <w:ind w:left="260"/>
              <w:spacing w:after="0" w:line="123" w:lineRule="exact"/>
              <w:rPr>
                <w:sz w:val="20"/>
                <w:szCs w:val="20"/>
                <w:color w:val="auto"/>
              </w:rPr>
            </w:pPr>
            <w:r>
              <w:rPr>
                <w:rFonts w:ascii="Times New Roman" w:cs="Times New Roman" w:eastAsia="Times New Roman" w:hAnsi="Times New Roman"/>
                <w:sz w:val="14"/>
                <w:szCs w:val="14"/>
                <w:color w:val="auto"/>
              </w:rPr>
              <w:t>% Singapore store operating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(“Luckin Singapore”)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Luckin Coffee (Hong Kong) Limited</w:t>
            </w:r>
          </w:p>
        </w:tc>
        <w:tc>
          <w:tcPr>
            <w:tcW w:w="106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June 19, 2017</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Hong Kong</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(“Luckin HK”)</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23" w:lineRule="exact"/>
              <w:rPr>
                <w:sz w:val="20"/>
                <w:szCs w:val="20"/>
                <w:color w:val="auto"/>
              </w:rPr>
            </w:pPr>
            <w:r>
              <w:rPr>
                <w:rFonts w:ascii="Times New Roman" w:cs="Times New Roman" w:eastAsia="Times New Roman" w:hAnsi="Times New Roman"/>
                <w:sz w:val="14"/>
                <w:szCs w:val="14"/>
                <w:color w:val="auto"/>
              </w:rPr>
              <w:t>Luckin Coffee Trading (Hong Kong)</w:t>
            </w:r>
          </w:p>
        </w:tc>
        <w:tc>
          <w:tcPr>
            <w:tcW w:w="106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color w:val="auto"/>
              </w:rPr>
              <w:t>April 1, 2022</w:t>
            </w:r>
          </w:p>
        </w:tc>
        <w:tc>
          <w:tcPr>
            <w:tcW w:w="10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Hong Kong</w:t>
            </w:r>
          </w:p>
        </w:tc>
        <w:tc>
          <w:tcPr>
            <w:tcW w:w="1640" w:type="dxa"/>
            <w:vAlign w:val="bottom"/>
          </w:tcPr>
          <w:p>
            <w:pPr>
              <w:jc w:val="center"/>
              <w:ind w:left="191"/>
              <w:spacing w:after="0" w:line="123" w:lineRule="exact"/>
              <w:rPr>
                <w:sz w:val="20"/>
                <w:szCs w:val="20"/>
                <w:color w:val="auto"/>
              </w:rPr>
            </w:pPr>
            <w:r>
              <w:rPr>
                <w:rFonts w:ascii="Times New Roman" w:cs="Times New Roman" w:eastAsia="Times New Roman" w:hAnsi="Times New Roman"/>
                <w:sz w:val="11"/>
                <w:szCs w:val="11"/>
                <w:color w:val="auto"/>
              </w:rPr>
              <w:t>100</w:t>
            </w:r>
          </w:p>
        </w:tc>
        <w:tc>
          <w:tcPr>
            <w:tcW w:w="3160" w:type="dxa"/>
            <w:vAlign w:val="bottom"/>
            <w:gridSpan w:val="3"/>
          </w:tcPr>
          <w:p>
            <w:pPr>
              <w:ind w:left="260"/>
              <w:spacing w:after="0" w:line="123" w:lineRule="exact"/>
              <w:rPr>
                <w:sz w:val="20"/>
                <w:szCs w:val="20"/>
                <w:color w:val="auto"/>
              </w:rPr>
            </w:pPr>
            <w:r>
              <w:rPr>
                <w:rFonts w:ascii="Times New Roman" w:cs="Times New Roman" w:eastAsia="Times New Roman" w:hAnsi="Times New Roman"/>
                <w:sz w:val="14"/>
                <w:szCs w:val="14"/>
                <w:color w:val="auto"/>
              </w:rPr>
              <w:t>% International trading of materials for products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Limited (“Luckin Trading HK”)</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Luckin Coffee Roasting (Hong Kong)</w:t>
            </w:r>
          </w:p>
        </w:tc>
        <w:tc>
          <w:tcPr>
            <w:tcW w:w="106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April 12, 2019</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Hong Kong</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Limited (“Luckin Roasting”)</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23" w:lineRule="exact"/>
              <w:rPr>
                <w:sz w:val="20"/>
                <w:szCs w:val="20"/>
                <w:color w:val="auto"/>
              </w:rPr>
            </w:pPr>
            <w:r>
              <w:rPr>
                <w:rFonts w:ascii="Times New Roman" w:cs="Times New Roman" w:eastAsia="Times New Roman" w:hAnsi="Times New Roman"/>
                <w:sz w:val="14"/>
                <w:szCs w:val="14"/>
                <w:color w:val="auto"/>
              </w:rPr>
              <w:t>Luckin Coffee Roastery (Hong Kong)</w:t>
            </w:r>
          </w:p>
        </w:tc>
        <w:tc>
          <w:tcPr>
            <w:tcW w:w="106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April 30, 2019</w:t>
            </w:r>
          </w:p>
        </w:tc>
        <w:tc>
          <w:tcPr>
            <w:tcW w:w="10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Hong Kong</w:t>
            </w:r>
          </w:p>
        </w:tc>
        <w:tc>
          <w:tcPr>
            <w:tcW w:w="1640" w:type="dxa"/>
            <w:vAlign w:val="bottom"/>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tcPr>
          <w:p>
            <w:pPr>
              <w:ind w:left="260"/>
              <w:spacing w:after="0" w:line="123" w:lineRule="exact"/>
              <w:rPr>
                <w:sz w:val="20"/>
                <w:szCs w:val="20"/>
                <w:color w:val="auto"/>
              </w:rPr>
            </w:pPr>
            <w:r>
              <w:rPr>
                <w:rFonts w:ascii="Times New Roman" w:cs="Times New Roman" w:eastAsia="Times New Roman" w:hAnsi="Times New Roman"/>
                <w:sz w:val="14"/>
                <w:szCs w:val="14"/>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Limited (“Luckin Roastery”)</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Beijing Luckin Coffee Co., Ltd.</w:t>
            </w:r>
          </w:p>
        </w:tc>
        <w:tc>
          <w:tcPr>
            <w:tcW w:w="106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October 31,</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PRC</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Retail services for freshly brewed drinks and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(“Beijing Wholly Foreign Owned</w:t>
            </w:r>
          </w:p>
        </w:tc>
        <w:tc>
          <w:tcPr>
            <w:tcW w:w="9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4"/>
                <w:szCs w:val="14"/>
                <w:color w:val="auto"/>
              </w:rPr>
              <w:t>pre-made food and beverage items and technical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Enterprise”, or, “Beijing WFOE”)</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ind w:left="160"/>
              <w:spacing w:after="0" w:line="146" w:lineRule="exact"/>
              <w:rPr>
                <w:sz w:val="20"/>
                <w:szCs w:val="20"/>
                <w:color w:val="auto"/>
              </w:rPr>
            </w:pPr>
            <w:r>
              <w:rPr>
                <w:rFonts w:ascii="Times New Roman" w:cs="Times New Roman" w:eastAsia="Times New Roman" w:hAnsi="Times New Roman"/>
                <w:sz w:val="14"/>
                <w:szCs w:val="14"/>
                <w:color w:val="auto"/>
              </w:rPr>
              <w:t>and consultation services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 / (2)</w:t>
            </w: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23" w:lineRule="exact"/>
              <w:rPr>
                <w:sz w:val="20"/>
                <w:szCs w:val="20"/>
                <w:color w:val="auto"/>
              </w:rPr>
            </w:pPr>
            <w:r>
              <w:rPr>
                <w:rFonts w:ascii="Times New Roman" w:cs="Times New Roman" w:eastAsia="Times New Roman" w:hAnsi="Times New Roman"/>
                <w:sz w:val="14"/>
                <w:szCs w:val="14"/>
                <w:color w:val="auto"/>
              </w:rPr>
              <w:t>Luckin Investment (Tianjin) Co., Ltd.</w:t>
            </w:r>
          </w:p>
        </w:tc>
        <w:tc>
          <w:tcPr>
            <w:tcW w:w="106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4"/>
                <w:szCs w:val="14"/>
                <w:color w:val="auto"/>
              </w:rPr>
              <w:t>December 7,</w:t>
            </w:r>
          </w:p>
        </w:tc>
        <w:tc>
          <w:tcPr>
            <w:tcW w:w="10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PRC</w:t>
            </w:r>
          </w:p>
        </w:tc>
        <w:tc>
          <w:tcPr>
            <w:tcW w:w="1640" w:type="dxa"/>
            <w:vAlign w:val="bottom"/>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tcPr>
          <w:p>
            <w:pPr>
              <w:ind w:left="260"/>
              <w:spacing w:after="0" w:line="123" w:lineRule="exact"/>
              <w:rPr>
                <w:sz w:val="20"/>
                <w:szCs w:val="20"/>
                <w:color w:val="auto"/>
              </w:rPr>
            </w:pPr>
            <w:r>
              <w:rPr>
                <w:rFonts w:ascii="Times New Roman" w:cs="Times New Roman" w:eastAsia="Times New Roman" w:hAnsi="Times New Roman"/>
                <w:sz w:val="14"/>
                <w:szCs w:val="14"/>
                <w:color w:val="auto"/>
              </w:rPr>
              <w:t>% Investment holding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(“Luckin TJ”) (1) / (5)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Luckin Coffee Group Co., Ltd.</w:t>
            </w:r>
          </w:p>
        </w:tc>
        <w:tc>
          <w:tcPr>
            <w:tcW w:w="106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March 28, 2018</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PRC</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Headquarter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(formerly as “Luckin Coffee (China)</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4"/>
            <w:shd w:val="clear" w:color="auto" w:fill="CCEEFF"/>
          </w:tcPr>
          <w:p>
            <w:pPr>
              <w:ind w:left="80"/>
              <w:spacing w:after="0" w:line="146" w:lineRule="exact"/>
              <w:rPr>
                <w:sz w:val="20"/>
                <w:szCs w:val="20"/>
                <w:color w:val="auto"/>
              </w:rPr>
            </w:pPr>
            <w:r>
              <w:rPr>
                <w:rFonts w:ascii="Times New Roman" w:cs="Times New Roman" w:eastAsia="Times New Roman" w:hAnsi="Times New Roman"/>
                <w:sz w:val="14"/>
                <w:szCs w:val="14"/>
                <w:color w:val="auto"/>
              </w:rPr>
              <w:t>Co., Ltd”, “Luckin China”) (1) / (2) /</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w:t>
            </w: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23" w:lineRule="exact"/>
              <w:rPr>
                <w:sz w:val="20"/>
                <w:szCs w:val="20"/>
                <w:color w:val="auto"/>
              </w:rPr>
            </w:pPr>
            <w:r>
              <w:rPr>
                <w:rFonts w:ascii="Times New Roman" w:cs="Times New Roman" w:eastAsia="Times New Roman" w:hAnsi="Times New Roman"/>
                <w:sz w:val="14"/>
                <w:szCs w:val="14"/>
                <w:color w:val="auto"/>
              </w:rPr>
              <w:t>Luckin Coffee Roasting (Pingnan) Co.,</w:t>
            </w:r>
          </w:p>
        </w:tc>
        <w:tc>
          <w:tcPr>
            <w:tcW w:w="106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April 28, 2019</w:t>
            </w:r>
          </w:p>
        </w:tc>
        <w:tc>
          <w:tcPr>
            <w:tcW w:w="10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PRC</w:t>
            </w:r>
          </w:p>
        </w:tc>
        <w:tc>
          <w:tcPr>
            <w:tcW w:w="1640" w:type="dxa"/>
            <w:vAlign w:val="bottom"/>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tcPr>
          <w:p>
            <w:pPr>
              <w:ind w:left="260"/>
              <w:spacing w:after="0" w:line="123" w:lineRule="exact"/>
              <w:rPr>
                <w:sz w:val="20"/>
                <w:szCs w:val="20"/>
                <w:color w:val="auto"/>
              </w:rPr>
            </w:pPr>
            <w:r>
              <w:rPr>
                <w:rFonts w:ascii="Times New Roman" w:cs="Times New Roman" w:eastAsia="Times New Roman" w:hAnsi="Times New Roman"/>
                <w:sz w:val="14"/>
                <w:szCs w:val="14"/>
                <w:color w:val="auto"/>
              </w:rPr>
              <w:t>% Manufacture of materials for products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Ltd. (1)</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Luckin Coffee Food (Jiangsu) Co., Ltd</w:t>
            </w:r>
          </w:p>
        </w:tc>
        <w:tc>
          <w:tcPr>
            <w:tcW w:w="106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w w:val="99"/>
              </w:rPr>
              <w:t>May 27, 2022</w:t>
            </w:r>
          </w:p>
        </w:tc>
        <w:tc>
          <w:tcPr>
            <w:tcW w:w="1040" w:type="dxa"/>
            <w:vAlign w:val="bottom"/>
            <w:gridSpan w:val="2"/>
            <w:shd w:val="clear" w:color="auto" w:fill="CCEEFF"/>
          </w:tcPr>
          <w:p>
            <w:pPr>
              <w:jc w:val="center"/>
              <w:ind w:right="160"/>
              <w:spacing w:after="0" w:line="123" w:lineRule="exact"/>
              <w:rPr>
                <w:sz w:val="20"/>
                <w:szCs w:val="20"/>
                <w:color w:val="auto"/>
              </w:rPr>
            </w:pPr>
            <w:r>
              <w:rPr>
                <w:rFonts w:ascii="Times New Roman" w:cs="Times New Roman" w:eastAsia="Times New Roman" w:hAnsi="Times New Roman"/>
                <w:sz w:val="14"/>
                <w:szCs w:val="14"/>
                <w:color w:val="auto"/>
              </w:rPr>
              <w:t>PRC</w:t>
            </w:r>
          </w:p>
        </w:tc>
        <w:tc>
          <w:tcPr>
            <w:tcW w:w="1640" w:type="dxa"/>
            <w:vAlign w:val="bottom"/>
            <w:shd w:val="clear" w:color="auto" w:fill="CCEEFF"/>
          </w:tcPr>
          <w:p>
            <w:pPr>
              <w:jc w:val="center"/>
              <w:ind w:left="191"/>
              <w:spacing w:after="0" w:line="123" w:lineRule="exact"/>
              <w:rPr>
                <w:sz w:val="20"/>
                <w:szCs w:val="20"/>
                <w:color w:val="auto"/>
              </w:rPr>
            </w:pPr>
            <w:r>
              <w:rPr>
                <w:rFonts w:ascii="Times New Roman" w:cs="Times New Roman" w:eastAsia="Times New Roman" w:hAnsi="Times New Roman"/>
                <w:sz w:val="14"/>
                <w:szCs w:val="14"/>
                <w:color w:val="auto"/>
              </w:rPr>
              <w:t>100</w:t>
            </w:r>
          </w:p>
        </w:tc>
        <w:tc>
          <w:tcPr>
            <w:tcW w:w="3160" w:type="dxa"/>
            <w:vAlign w:val="bottom"/>
            <w:gridSpan w:val="3"/>
            <w:shd w:val="clear" w:color="auto" w:fill="CCEEFF"/>
          </w:tcPr>
          <w:p>
            <w:pPr>
              <w:ind w:left="260"/>
              <w:spacing w:after="0" w:line="123" w:lineRule="exact"/>
              <w:rPr>
                <w:sz w:val="20"/>
                <w:szCs w:val="20"/>
                <w:color w:val="auto"/>
              </w:rPr>
            </w:pPr>
            <w:r>
              <w:rPr>
                <w:rFonts w:ascii="Times New Roman" w:cs="Times New Roman" w:eastAsia="Times New Roman" w:hAnsi="Times New Roman"/>
                <w:sz w:val="14"/>
                <w:szCs w:val="14"/>
                <w:color w:val="auto"/>
              </w:rPr>
              <w:t>% Manufacture of materials for products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320" w:type="dxa"/>
            <w:vAlign w:val="bottom"/>
            <w:tcBorders>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w w:val="96"/>
              </w:rPr>
              <w:t>Variable Interest Entity:</w:t>
            </w:r>
          </w:p>
        </w:tc>
        <w:tc>
          <w:tcPr>
            <w:tcW w:w="1040" w:type="dxa"/>
            <w:vAlign w:val="bottom"/>
            <w:tcBorders>
              <w:bottom w:val="single" w:sz="8" w:color="CCEEFF"/>
            </w:tcBorders>
            <w:gridSpan w:val="2"/>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tcPr>
          <w:p>
            <w:pPr>
              <w:spacing w:after="0" w:line="116" w:lineRule="exact"/>
              <w:rPr>
                <w:sz w:val="20"/>
                <w:szCs w:val="20"/>
                <w:color w:val="auto"/>
              </w:rPr>
            </w:pPr>
            <w:r>
              <w:rPr>
                <w:rFonts w:ascii="Times New Roman" w:cs="Times New Roman" w:eastAsia="Times New Roman" w:hAnsi="Times New Roman"/>
                <w:sz w:val="13"/>
                <w:szCs w:val="13"/>
                <w:color w:val="auto"/>
              </w:rPr>
              <w:t>Beijing Luckin Coffee Technology Ltd.</w:t>
            </w:r>
          </w:p>
        </w:tc>
        <w:tc>
          <w:tcPr>
            <w:tcW w:w="10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color w:val="auto"/>
              </w:rPr>
              <w:t>June 14, 2017</w:t>
            </w:r>
          </w:p>
        </w:tc>
        <w:tc>
          <w:tcPr>
            <w:tcW w:w="104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color w:val="auto"/>
              </w:rPr>
              <w:t>PRC</w:t>
            </w: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00" w:type="dxa"/>
            <w:vAlign w:val="bottom"/>
            <w:gridSpan w:val="2"/>
          </w:tcPr>
          <w:p>
            <w:pPr>
              <w:ind w:left="160"/>
              <w:spacing w:after="0" w:line="116" w:lineRule="exact"/>
              <w:rPr>
                <w:sz w:val="20"/>
                <w:szCs w:val="20"/>
                <w:color w:val="auto"/>
              </w:rPr>
            </w:pPr>
            <w:r>
              <w:rPr>
                <w:rFonts w:ascii="Times New Roman" w:cs="Times New Roman" w:eastAsia="Times New Roman" w:hAnsi="Times New Roman"/>
                <w:sz w:val="13"/>
                <w:szCs w:val="13"/>
                <w:color w:val="auto"/>
              </w:rPr>
              <w:t>License holder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(“VIE”) (3)</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57150</wp:posOffset>
            </wp:positionV>
            <wp:extent cx="15735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154" w:lineRule="exact"/>
        <w:rPr>
          <w:sz w:val="20"/>
          <w:szCs w:val="20"/>
          <w:color w:val="auto"/>
        </w:rPr>
      </w:pPr>
    </w:p>
    <w:p>
      <w:pPr>
        <w:ind w:left="660" w:hanging="309"/>
        <w:spacing w:after="0"/>
        <w:tabs>
          <w:tab w:leader="none" w:pos="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their subsidiaries, collectively as the “PRC subsidiaries”.</w:t>
      </w:r>
    </w:p>
    <w:p>
      <w:pPr>
        <w:ind w:left="660" w:hanging="309"/>
        <w:spacing w:after="0" w:line="217" w:lineRule="auto"/>
        <w:tabs>
          <w:tab w:leader="none" w:pos="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27, 2018, Beijing WFOE transferred all its 100% equity interest in its subsidiaries to Luckin China.</w:t>
      </w:r>
    </w:p>
    <w:p>
      <w:pPr>
        <w:ind w:left="660" w:right="120" w:hanging="309"/>
        <w:spacing w:after="0" w:line="217" w:lineRule="auto"/>
        <w:tabs>
          <w:tab w:leader="none" w:pos="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Jinyi Guo and Mr. Gang Wu are nominal shareholders of the VIE, holding 83.33% and 16.67% of the equity interest, respectively. As of the date of the report, the Company has terminated the contractual agreements entered into by and among the Beijing WFOE and VIE.</w:t>
      </w:r>
    </w:p>
    <w:p>
      <w:pPr>
        <w:ind w:left="660" w:hanging="309"/>
        <w:spacing w:after="0" w:line="217" w:lineRule="auto"/>
        <w:tabs>
          <w:tab w:leader="none" w:pos="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Luckin China had 68 direct and indirect wholly-owned subsidiaries.</w:t>
      </w:r>
    </w:p>
    <w:p>
      <w:pPr>
        <w:ind w:left="660" w:hanging="309"/>
        <w:spacing w:after="0"/>
        <w:tabs>
          <w:tab w:leader="none" w:pos="6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Luckin TJ had one direct wholly-owned subsidiary.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00" w:hanging="293"/>
        <w:spacing w:after="0"/>
        <w:tabs>
          <w:tab w:leader="none" w:pos="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(CONTINUED)</w:t>
      </w:r>
    </w:p>
    <w:p>
      <w:pPr>
        <w:spacing w:after="0" w:line="179" w:lineRule="exact"/>
        <w:rPr>
          <w:rFonts w:ascii="Times New Roman" w:cs="Times New Roman" w:eastAsia="Times New Roman" w:hAnsi="Times New Roman"/>
          <w:sz w:val="18"/>
          <w:szCs w:val="18"/>
          <w:b w:val="1"/>
          <w:bCs w:val="1"/>
          <w:color w:val="auto"/>
        </w:rPr>
      </w:pPr>
    </w:p>
    <w:p>
      <w:pPr>
        <w:ind w:left="320" w:right="40" w:firstLine="5"/>
        <w:spacing w:after="0" w:line="248" w:lineRule="auto"/>
        <w:tabs>
          <w:tab w:leader="none" w:pos="63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laws and regulations prohibit foreign ownership in certain telecommunication related businesses. To comply with these foreign ownership restrictions, the Company relies on contractual arrangements with the VIE rather than equity ownership in it to use, or otherwise benefit from, certain foreign restricted licenses and permits that the Company may need in the future, such as the internet content provider license, or the ICP license held by the VIE. Despite the lack of technical majority ownership, the Company has effective control of the VIE through a series of contractual agreements (the “VIE Agreements”). The equity interest of the VIE is legally held by PRC individuals (the “Nominee Shareholders”). Through the VIE Agreements, the Nominee Shareholders of the VIE effectively assign all their voting rights underlying their equity interests in the VIE to the Company, and therefore, the Company has the power to direct the activities of the VIE that most significantly impact the VIE’s economic performance. The Company also has the right to receive economic benefits and obligations to absorb losses from the VIE that potentially could be significant to the VIE. Based on the above, the Company consolidates the VIE in accordance with SEC Regulation S-X Rule 3A-02 and Accounting Standards Codification (“ASC”) 810-10 (“ASC 810-10”), </w:t>
      </w:r>
      <w:r>
        <w:rPr>
          <w:rFonts w:ascii="Times New Roman" w:cs="Times New Roman" w:eastAsia="Times New Roman" w:hAnsi="Times New Roman"/>
          <w:sz w:val="18"/>
          <w:szCs w:val="18"/>
          <w:i w:val="1"/>
          <w:iCs w:val="1"/>
          <w:color w:val="auto"/>
        </w:rPr>
        <w:t>Consolidation: Overall</w:t>
      </w:r>
      <w:r>
        <w:rPr>
          <w:rFonts w:ascii="Times New Roman" w:cs="Times New Roman" w:eastAsia="Times New Roman" w:hAnsi="Times New Roman"/>
          <w:sz w:val="18"/>
          <w:szCs w:val="18"/>
          <w:color w:val="auto"/>
        </w:rPr>
        <w:t>. VIE was established to hold certain foreign restricted licenses and permits which the Company might need in the future, such as the ICP license, the financial results of the VIE have not been material to the Company and are not expected to be material in the future.</w:t>
      </w:r>
    </w:p>
    <w:p>
      <w:pPr>
        <w:spacing w:after="0" w:line="148" w:lineRule="exact"/>
        <w:rPr>
          <w:sz w:val="20"/>
          <w:szCs w:val="20"/>
          <w:color w:val="auto"/>
        </w:rPr>
      </w:pPr>
    </w:p>
    <w:p>
      <w:pPr>
        <w:ind w:left="320" w:right="20"/>
        <w:spacing w:after="0" w:line="249" w:lineRule="auto"/>
        <w:rPr>
          <w:sz w:val="20"/>
          <w:szCs w:val="20"/>
          <w:color w:val="auto"/>
        </w:rPr>
      </w:pPr>
      <w:r>
        <w:rPr>
          <w:rFonts w:ascii="Times New Roman" w:cs="Times New Roman" w:eastAsia="Times New Roman" w:hAnsi="Times New Roman"/>
          <w:sz w:val="18"/>
          <w:szCs w:val="18"/>
          <w:color w:val="auto"/>
        </w:rPr>
        <w:t>The VIE is not involved in the business operations or fund planning of the Group. However, Luckin Coffee Inc. and its subsidiaries may transfer cash to the VIE by loans or capital support, subject to satisfaction of applicable government registration and approval requirements, to satisfy the VIE’s miscellaneous cash demands, such as social insurance fees for employees whose social insurance accounts were registered under the VIE. In 2021, 2022 and 2023, the PRC subsidiaries transferred RMB18.8 million, RMB115.5 million and RMB11.1 million (US$1.6 million), respectively, to the VIE by loans or by capital support. In addition, the VIE may transfer cash as repayment of loans or, on an ad hoc basis, as working capital support to the PRC subsidiaries. In 2021, 2022 and 2023, the VIE transferred to the PRC subsidiaries RMB58.8 million, RMB104.1 million and RMB0.6 million (US$83.3 thousands), respectively. These funds were used for repayment of loans or to support operations of the PRC subsidiaries. In addition, the Group and the VIE do not currently have any plans to distribute earnings or settle amounts owed under the VIE Agreements.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key VIE Agreements: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179"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8"/>
          <w:szCs w:val="18"/>
          <w:color w:val="auto"/>
        </w:rPr>
        <w:t>Pursuant to the Exclusive Option Agreement entered into amongst the VIE, the Nominee Shareholders and Beijing WFOE, the Nominee Shareholders granted Beijing WFOE or its designated party, an irrevocable and exclusive right to purchase all or part of the equity interests held by the Nominee Shareholders in the VIE at its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Beijing WFOE or its designated party, to the extent permitted under PRC laws. In addition, the VIE and the Nominee Shareholders have agreed that without prior written consent of the Beijing WFOE, they will not create any pledge or encumbrance on their equity interests in the VIE, except for the pledge placed pursuant to the Share Pledge Agreement, or transfer or otherwise dispose of their equity interests in the VIE. The term of the agreement remains effective as long as each Nominee Shareholder remains as a shareholder of the VIE. Beijing WFOE may terminate the agreement at its sole discretion, whereas under no circumstances may the VIE or the Nominee Shareholders terminate the agreement.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 Pledge Agreement</w:t>
      </w:r>
    </w:p>
    <w:p>
      <w:pPr>
        <w:spacing w:after="0" w:line="179" w:lineRule="exact"/>
        <w:rPr>
          <w:sz w:val="20"/>
          <w:szCs w:val="20"/>
          <w:color w:val="auto"/>
        </w:rPr>
      </w:pPr>
    </w:p>
    <w:p>
      <w:pPr>
        <w:ind w:left="320" w:right="60"/>
        <w:spacing w:after="0" w:line="265" w:lineRule="auto"/>
        <w:rPr>
          <w:sz w:val="20"/>
          <w:szCs w:val="20"/>
          <w:color w:val="auto"/>
        </w:rPr>
      </w:pPr>
      <w:r>
        <w:rPr>
          <w:rFonts w:ascii="Times New Roman" w:cs="Times New Roman" w:eastAsia="Times New Roman" w:hAnsi="Times New Roman"/>
          <w:sz w:val="17"/>
          <w:szCs w:val="17"/>
          <w:color w:val="auto"/>
        </w:rPr>
        <w:t>Pursuant to the Share Pledge Agreement entered into amongst Beijing WFOE, the VIE, and the Nominee Shareholders, the Nominee Shareholders pledged all of their equity interests in the VIE to Beijing WFOE as collateral to secure their obligations. Beijing WFOE shall have the right to collect dividends generated by the pledged shares during the term of the pledge. If the VIE or the Nominee Shareholders breach their respective contractual obligations under the share pledge agreement, Beijing WFOE, as pledgee, will be entitled to rights, including the right to dispose the pledged equity interests entirely or partially. The Nominee Shareholders agreed not to transfer or otherwise create any encumbrance on their equity interests in the VIE without prior consent of Beijing WFOE. The Equity Pledge Agreement will remain effective until all the obligations have been satisfied in full and the pledged equity interests have been transferred to Beijing WFOE and/or its designee. The Company completed the registration of the pledge of equity interests in the VIE with the relevant office of Administration for the Industry and Commerce in accordance with the PRC Property Rights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6720" w:hanging="313"/>
        <w:spacing w:after="0" w:line="521" w:lineRule="auto"/>
        <w:tabs>
          <w:tab w:leader="none" w:pos="289"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(CONTINUED) </w:t>
      </w:r>
      <w:r>
        <w:rPr>
          <w:rFonts w:ascii="Times New Roman" w:cs="Times New Roman" w:eastAsia="Times New Roman" w:hAnsi="Times New Roman"/>
          <w:sz w:val="17"/>
          <w:szCs w:val="17"/>
          <w:i w:val="1"/>
          <w:iCs w:val="1"/>
          <w:color w:val="auto"/>
        </w:rPr>
        <w:t>Proxy Agreement and Power of Attorney</w:t>
      </w:r>
    </w:p>
    <w:p>
      <w:pPr>
        <w:spacing w:after="0" w:line="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Pursuant to the Proxy Agreement and Power of Attorney entered into amongst Beijing WFOE, the VIE, and the Nominee Shareholders, each Nominee Shareholder appointed Beijing WFOE to act on behalf of the Nominee Shareholders as exclusive agent and attorney with all respect to all matters concerning the shareholding including but not limited to (1) call and attend shareholders’ meetings of the VIE; (2) exercise all the shareholders’ rights, including voting rights; and (3) appoint at its sole discretion, a substitute or substitutes to perform any or all of its right of the VIE. The power of attorney remains irrevocable and continuously valid from the date of execution so long as each Nominee Shareholder remains as a shareholder of the VIE unless Beijing WFOE issues adverse instructions in writing. The Proxy Agreement and Power of Attorney was subsequently reassigned to the Company.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Master Exclusive Service Agreement</w:t>
      </w:r>
    </w:p>
    <w:p>
      <w:pPr>
        <w:spacing w:after="0" w:line="219" w:lineRule="exact"/>
        <w:rPr>
          <w:sz w:val="20"/>
          <w:szCs w:val="20"/>
          <w:color w:val="auto"/>
        </w:rPr>
      </w:pPr>
    </w:p>
    <w:p>
      <w:pPr>
        <w:ind w:left="320" w:right="80"/>
        <w:spacing w:after="0" w:line="249" w:lineRule="auto"/>
        <w:rPr>
          <w:sz w:val="20"/>
          <w:szCs w:val="20"/>
          <w:color w:val="auto"/>
        </w:rPr>
      </w:pPr>
      <w:r>
        <w:rPr>
          <w:rFonts w:ascii="Times New Roman" w:cs="Times New Roman" w:eastAsia="Times New Roman" w:hAnsi="Times New Roman"/>
          <w:sz w:val="18"/>
          <w:szCs w:val="18"/>
          <w:color w:val="auto"/>
        </w:rPr>
        <w:t>Pursuant to the Master Exclusive Service Agreement entered into between Beijing WFOE and the VIE, Beijing WFOE or its designated entities affiliated has the exclusive right to provide the VIE with technical support and business support services in return for fees equal to 100% of the consolidated net profits of the VIE. Beijing WFOE has sole discretion in determining the service fee charged to the VIE under this agreement. Without Beijing WFOE’s prior written consent, the VIE shall not, directly and indirectly, obtain the same or similar services as provided under this agreement from any third party, or enter into any similar agreement with any third party.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90" w:lineRule="exact"/>
        <w:rPr>
          <w:sz w:val="20"/>
          <w:szCs w:val="20"/>
          <w:color w:val="auto"/>
        </w:rPr>
      </w:pPr>
    </w:p>
    <w:p>
      <w:pPr>
        <w:ind w:left="320" w:right="60"/>
        <w:spacing w:after="0" w:line="259" w:lineRule="auto"/>
        <w:rPr>
          <w:sz w:val="20"/>
          <w:szCs w:val="20"/>
          <w:color w:val="auto"/>
        </w:rPr>
      </w:pPr>
      <w:r>
        <w:rPr>
          <w:rFonts w:ascii="Times New Roman" w:cs="Times New Roman" w:eastAsia="Times New Roman" w:hAnsi="Times New Roman"/>
          <w:sz w:val="18"/>
          <w:szCs w:val="18"/>
          <w:color w:val="auto"/>
        </w:rPr>
        <w:t>The Company is obligated and hereby undertakes to provide unlimited financial support to the VIE, to the extent permissible under the applicable PRC law and regulations, whether or not any such operational loss is actually incurred. The Company will forego the right to seek repayment in the event the VIE are unable to repay such funding.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Business Cooperation Agreement</w:t>
      </w:r>
    </w:p>
    <w:p>
      <w:pPr>
        <w:spacing w:after="0" w:line="219"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18"/>
          <w:szCs w:val="18"/>
          <w:color w:val="auto"/>
        </w:rPr>
        <w:t>Pursuant to the Business Cooperation Agreement entered into amongst Beijing WFOE, the VIE and the Nominee Shareholders, the VIE and the Nominee Shareholders agreed and covenanted that, without obtaining Beijing WFOE’s written consent, the VIE shall not, and the Nominee Shareholders shall cause the VIE not to, engage in any transaction which may materially affect the VIE’s assets, obligations, rights or operation. The VIE shall accept, and the Nominee Shareholders shall cause the VIE to accept, suggestions raised by Beijing WFOE over the employee engagement and replacement, daily operation, dividend distribution and financial management systems of the VIE. The Business Cooperation Agreement will remain effective until it is terminated at the discretion of Beijing WFOE or upon the transfer of all the shares of the VIE to Beijing WFOE and/or its designated party.</w:t>
      </w:r>
    </w:p>
    <w:p>
      <w:pPr>
        <w:spacing w:after="0" w:line="187" w:lineRule="exact"/>
        <w:rPr>
          <w:sz w:val="20"/>
          <w:szCs w:val="20"/>
          <w:color w:val="auto"/>
        </w:rPr>
      </w:pPr>
    </w:p>
    <w:p>
      <w:pPr>
        <w:ind w:left="320" w:right="40"/>
        <w:spacing w:after="0" w:line="282" w:lineRule="auto"/>
        <w:rPr>
          <w:sz w:val="20"/>
          <w:szCs w:val="20"/>
          <w:color w:val="auto"/>
        </w:rPr>
      </w:pPr>
      <w:r>
        <w:rPr>
          <w:rFonts w:ascii="Times New Roman" w:cs="Times New Roman" w:eastAsia="Times New Roman" w:hAnsi="Times New Roman"/>
          <w:sz w:val="17"/>
          <w:szCs w:val="17"/>
          <w:color w:val="auto"/>
        </w:rPr>
        <w:t>In the opinion of the Group’s management and the Group’s PRC legal counsel, (i) the ownership structure of the VIE is not in violation with any existing PRC laws and regulations in any material respect; and (ii) each of the VIE Agreements is valid, legally binding and enforceable to each party of such agreements and will not result in any violation of PRC laws or regulations currently in effect.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6380" w:hanging="313"/>
        <w:spacing w:after="0" w:line="521" w:lineRule="auto"/>
        <w:tabs>
          <w:tab w:leader="none" w:pos="289"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(CONTINUED) </w:t>
      </w:r>
      <w:r>
        <w:rPr>
          <w:rFonts w:ascii="Times New Roman" w:cs="Times New Roman" w:eastAsia="Times New Roman" w:hAnsi="Times New Roman"/>
          <w:sz w:val="17"/>
          <w:szCs w:val="17"/>
          <w:i w:val="1"/>
          <w:iCs w:val="1"/>
          <w:color w:val="auto"/>
        </w:rPr>
        <w:t>Business Cooperation Agreement (continued)</w:t>
      </w:r>
    </w:p>
    <w:p>
      <w:pPr>
        <w:spacing w:after="0" w:line="1" w:lineRule="exact"/>
        <w:rPr>
          <w:sz w:val="20"/>
          <w:szCs w:val="20"/>
          <w:color w:val="auto"/>
        </w:rPr>
      </w:pPr>
    </w:p>
    <w:p>
      <w:pPr>
        <w:ind w:left="320" w:right="40"/>
        <w:spacing w:after="0" w:line="248" w:lineRule="auto"/>
        <w:rPr>
          <w:sz w:val="20"/>
          <w:szCs w:val="20"/>
          <w:color w:val="auto"/>
        </w:rPr>
      </w:pPr>
      <w:r>
        <w:rPr>
          <w:rFonts w:ascii="Times New Roman" w:cs="Times New Roman" w:eastAsia="Times New Roman" w:hAnsi="Times New Roman"/>
          <w:sz w:val="18"/>
          <w:szCs w:val="18"/>
          <w:color w:val="auto"/>
        </w:rPr>
        <w:t>Uncertainties in the PRC legal system could cause the relevant regulatory authorities to find the current VIE Agreements and businesses to be in violation of any existing or future PRC laws or regulations. If the Company, Beijing WFOE or any of its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confiscating the income of the primary beneficiary, and the VIE, revoking the business licenses or operating licenses of the primary beneficiary, and VIE, shutting down the Group’s servers, discontinuing or placing restrictions or onerous conditions on the Group’s operations, requiring the Group to undergo a costly and disruptive restructuring or enforcing actions that could be harmful to the Group’s business. Any of these actions could affect the legality and enforceability of the contractual arrangements with the VIE and, consequently, cause the primary beneficiary to lose the rights to direct the activities of the VIE or the right to receive their economic benefits and the ability to consolidate the financial results of the VIE.</w:t>
      </w:r>
    </w:p>
    <w:p>
      <w:pPr>
        <w:spacing w:after="0" w:line="193" w:lineRule="exact"/>
        <w:rPr>
          <w:sz w:val="20"/>
          <w:szCs w:val="20"/>
          <w:color w:val="auto"/>
        </w:rPr>
      </w:pPr>
    </w:p>
    <w:p>
      <w:pPr>
        <w:ind w:left="320" w:right="140"/>
        <w:spacing w:after="0" w:line="251" w:lineRule="auto"/>
        <w:rPr>
          <w:sz w:val="20"/>
          <w:szCs w:val="20"/>
          <w:color w:val="auto"/>
        </w:rPr>
      </w:pPr>
      <w:r>
        <w:rPr>
          <w:rFonts w:ascii="Times New Roman" w:cs="Times New Roman" w:eastAsia="Times New Roman" w:hAnsi="Times New Roman"/>
          <w:sz w:val="18"/>
          <w:szCs w:val="18"/>
          <w:color w:val="auto"/>
        </w:rPr>
        <w:t>There are no assets that are pledged or collateralized for the VIE’ obligations and which can only be used to settle the VIE’s obligations, except for registered capital. Relevant PRC laws and regulations restrict the VIE from transferring a portion of their net assets, equivalent to the balance of its share capital and statutory reserve, to the Company in the form of loans and advances or cash dividends. Please refer to Note 11 for disclosure of restricted net assets. As the VIE is incorporated as limited liability company under the PRC Company Law, creditors of the VIE do not have recourse to the general credit of the Company for any of the liabilities of the VIE. There were no other pledges or collateralization of the VIE’s assets.</w:t>
      </w:r>
    </w:p>
    <w:p>
      <w:pPr>
        <w:spacing w:after="0" w:line="185" w:lineRule="exact"/>
        <w:rPr>
          <w:sz w:val="20"/>
          <w:szCs w:val="20"/>
          <w:color w:val="auto"/>
        </w:rPr>
      </w:pPr>
    </w:p>
    <w:p>
      <w:pPr>
        <w:ind w:left="320" w:right="20"/>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changes in cash and cash equivalents and restricted cash of the consolidated VIE structured by the Contractual Agreements:</w:t>
      </w:r>
    </w:p>
    <w:p>
      <w:pPr>
        <w:spacing w:after="0" w:line="170" w:lineRule="exact"/>
        <w:rPr>
          <w:sz w:val="20"/>
          <w:szCs w:val="20"/>
          <w:color w:val="auto"/>
        </w:rPr>
      </w:pPr>
    </w:p>
    <w:tbl>
      <w:tblPr>
        <w:tblLayout w:type="fixed"/>
        <w:tblInd w:w="6280" w:type="dxa"/>
        <w:tblCellMar>
          <w:top w:w="0" w:type="dxa"/>
          <w:left w:w="0" w:type="dxa"/>
          <w:bottom w:w="0" w:type="dxa"/>
          <w:right w:w="0" w:type="dxa"/>
        </w:tblCellMar>
      </w:tblPr>
      <w:tr>
        <w:trPr>
          <w:trHeight w:val="170"/>
        </w:trPr>
        <w:tc>
          <w:tcPr>
            <w:tcW w:w="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640" w:type="dxa"/>
            <w:vAlign w:val="bottom"/>
            <w:tcBorders>
              <w:bottom w:val="single" w:sz="8" w:color="auto"/>
            </w:tcBorders>
          </w:tcPr>
          <w:p>
            <w:pPr>
              <w:spacing w:after="0"/>
              <w:rPr>
                <w:sz w:val="14"/>
                <w:szCs w:val="14"/>
                <w:color w:val="auto"/>
              </w:rPr>
            </w:pPr>
          </w:p>
        </w:tc>
      </w:tr>
      <w:tr>
        <w:trPr>
          <w:trHeight w:val="139"/>
        </w:trPr>
        <w:tc>
          <w:tcPr>
            <w:tcW w:w="66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2040" w:type="dxa"/>
            <w:vAlign w:val="bottom"/>
            <w:gridSpan w:val="3"/>
          </w:tcPr>
          <w:p>
            <w:pPr>
              <w:jc w:val="right"/>
              <w:ind w:right="22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r>
      <w:tr>
        <w:trPr>
          <w:trHeight w:val="179"/>
        </w:trPr>
        <w:tc>
          <w:tcPr>
            <w:tcW w:w="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top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US$</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6,865</w:t>
            </w: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595"/>
              <w:spacing w:after="0"/>
              <w:rPr>
                <w:sz w:val="20"/>
                <w:szCs w:val="20"/>
                <w:color w:val="auto"/>
              </w:rPr>
            </w:pPr>
            <w:r>
              <w:rPr>
                <w:rFonts w:ascii="Calibri" w:cs="Calibri" w:eastAsia="Calibri" w:hAnsi="Calibri"/>
                <w:sz w:val="18"/>
                <w:szCs w:val="18"/>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2,864</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right"/>
              <w:ind w:right="595"/>
              <w:spacing w:after="0"/>
              <w:rPr>
                <w:sz w:val="20"/>
                <w:szCs w:val="20"/>
                <w:color w:val="auto"/>
              </w:rPr>
            </w:pPr>
            <w:r>
              <w:rPr>
                <w:rFonts w:ascii="Times New Roman" w:cs="Times New Roman" w:eastAsia="Times New Roman" w:hAnsi="Times New Roman"/>
                <w:sz w:val="18"/>
                <w:szCs w:val="18"/>
                <w:color w:val="auto"/>
              </w:rPr>
              <w:t>4,336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20" w:type="dxa"/>
            <w:vAlign w:val="bottom"/>
            <w:tcBorders>
              <w:bottom w:val="single" w:sz="8" w:color="auto"/>
            </w:tcBorders>
            <w:gridSpan w:val="10"/>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7"/>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1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0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180" w:type="dxa"/>
            <w:vAlign w:val="bottom"/>
            <w:gridSpan w:val="3"/>
          </w:tcPr>
          <w:p>
            <w:pPr>
              <w:jc w:val="right"/>
              <w:ind w:right="215"/>
              <w:spacing w:after="0"/>
              <w:rPr>
                <w:sz w:val="20"/>
                <w:szCs w:val="20"/>
                <w:color w:val="auto"/>
              </w:rPr>
            </w:pPr>
            <w:r>
              <w:rPr>
                <w:rFonts w:ascii="Times New Roman" w:cs="Times New Roman" w:eastAsia="Times New Roman" w:hAnsi="Times New Roman"/>
                <w:sz w:val="18"/>
                <w:szCs w:val="18"/>
                <w:color w:val="auto"/>
              </w:rPr>
              <w:t>(9,233)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20" w:type="dxa"/>
            <w:vAlign w:val="bottom"/>
            <w:tcBorders>
              <w:bottom w:val="single" w:sz="8" w:color="auto"/>
            </w:tcBorders>
            <w:gridSpan w:val="10"/>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1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gridSpan w:val="2"/>
          </w:tcPr>
          <w:p>
            <w:pPr>
              <w:spacing w:after="0"/>
              <w:rPr>
                <w:sz w:val="15"/>
                <w:szCs w:val="15"/>
                <w:color w:val="auto"/>
              </w:rPr>
            </w:pPr>
          </w:p>
        </w:tc>
        <w:tc>
          <w:tcPr>
            <w:tcW w:w="100" w:type="dxa"/>
            <w:vAlign w:val="bottom"/>
            <w:tcBorders>
              <w:top w:val="single" w:sz="8" w:color="auto"/>
            </w:tcBorders>
            <w:gridSpan w:val="2"/>
          </w:tcPr>
          <w:p>
            <w:pPr>
              <w:spacing w:after="0"/>
              <w:rPr>
                <w:sz w:val="15"/>
                <w:szCs w:val="15"/>
                <w:color w:val="auto"/>
              </w:rPr>
            </w:pPr>
          </w:p>
        </w:tc>
        <w:tc>
          <w:tcPr>
            <w:tcW w:w="6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year</w:t>
            </w:r>
          </w:p>
        </w:tc>
        <w:tc>
          <w:tcPr>
            <w:tcW w:w="10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2"/>
        </w:trPr>
        <w:tc>
          <w:tcPr>
            <w:tcW w:w="320" w:type="dxa"/>
            <w:vAlign w:val="bottom"/>
          </w:tcPr>
          <w:p>
            <w:pPr>
              <w:spacing w:after="0"/>
              <w:rPr>
                <w:sz w:val="24"/>
                <w:szCs w:val="24"/>
                <w:color w:val="auto"/>
              </w:rPr>
            </w:pP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F-14</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5" w:lineRule="exact"/>
        <w:rPr>
          <w:rFonts w:ascii="Times New Roman" w:cs="Times New Roman" w:eastAsia="Times New Roman" w:hAnsi="Times New Roman"/>
          <w:sz w:val="18"/>
          <w:szCs w:val="18"/>
          <w:b w:val="1"/>
          <w:bCs w:val="1"/>
          <w:color w:val="auto"/>
        </w:rPr>
      </w:pPr>
    </w:p>
    <w:p>
      <w:pPr>
        <w:ind w:left="700" w:hanging="375"/>
        <w:spacing w:after="0"/>
        <w:tabs>
          <w:tab w:leader="none" w:pos="700" w:val="left"/>
        </w:tabs>
        <w:numPr>
          <w:ilvl w:val="1"/>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ind w:left="320" w:right="500"/>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accounting principles generally accepted in the United States of America (“US GAAP”).</w:t>
      </w:r>
    </w:p>
    <w:p>
      <w:pPr>
        <w:spacing w:after="0" w:line="159"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Principles of consolidation</w:t>
      </w:r>
    </w:p>
    <w:p>
      <w:pPr>
        <w:spacing w:after="0" w:line="221" w:lineRule="exact"/>
        <w:rPr>
          <w:sz w:val="20"/>
          <w:szCs w:val="20"/>
          <w:color w:val="auto"/>
        </w:rPr>
      </w:pPr>
    </w:p>
    <w:p>
      <w:pPr>
        <w:ind w:left="320" w:right="220"/>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of the Group include the financial statements of the Company, its subsidiaries and the VIE for which the Company is the primary beneficiary. All significant inter-company transactions and balances between the Company, its subsidiaries and the VIE have been eliminated upon consolidation.</w:t>
      </w:r>
    </w:p>
    <w:p>
      <w:pPr>
        <w:spacing w:after="0" w:line="174" w:lineRule="exact"/>
        <w:rPr>
          <w:sz w:val="20"/>
          <w:szCs w:val="20"/>
          <w:color w:val="auto"/>
        </w:rPr>
      </w:pPr>
    </w:p>
    <w:p>
      <w:pPr>
        <w:ind w:left="740" w:hanging="415"/>
        <w:spacing w:after="0"/>
        <w:tabs>
          <w:tab w:leader="none" w:pos="74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1" w:lineRule="exact"/>
        <w:rPr>
          <w:sz w:val="20"/>
          <w:szCs w:val="20"/>
          <w:color w:val="auto"/>
        </w:rPr>
      </w:pPr>
    </w:p>
    <w:p>
      <w:pPr>
        <w:ind w:left="320" w:right="140"/>
        <w:spacing w:after="0" w:line="255" w:lineRule="auto"/>
        <w:rPr>
          <w:sz w:val="20"/>
          <w:szCs w:val="20"/>
          <w:color w:val="auto"/>
        </w:rPr>
      </w:pPr>
      <w:r>
        <w:rPr>
          <w:rFonts w:ascii="Times New Roman" w:cs="Times New Roman" w:eastAsia="Times New Roman" w:hAnsi="Times New Roman"/>
          <w:sz w:val="18"/>
          <w:szCs w:val="18"/>
          <w:color w:val="auto"/>
        </w:rPr>
        <w:t>For the Group’s non-wholly owned subsidiaries, a non-controlling interest is recognized to reflect the portion of equity that is not attributable, directly or indirectly, to the Group. Non-controlling interests are classified as a separate line item in the equity section of the Group’s consolidated balance sheets and have been separately disclosed in the Group’s consolidated statements of operations and comprehensive income to distinguish the interests from that of the Group.</w:t>
      </w:r>
    </w:p>
    <w:p>
      <w:pPr>
        <w:spacing w:after="0" w:line="17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221"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at the balance sheet date and revenues and expenses during the reporting periods. Accounting estimates reflected in the Group’s consolidated financial statements include, but not limited to, estimates for allowance for credit losses of accounts receivable and other receivables, inventory provision, and short-term investments, useful lives and impairment of long-lived assets, revenue recognized from breakage amount, refund liability, accounting for deferred income taxes and uncertain tax benefits, valuation allowance for deferred tax assets, fair value of share-based payments, provision of contingent liabilities, and valuations for derivative financial instruments, convertible senior preferred shares and convertible senior notes. Changes in facts and circumstances may result in revised estimates.</w:t>
      </w:r>
    </w:p>
    <w:p>
      <w:pPr>
        <w:spacing w:after="0" w:line="18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Foreign currency</w:t>
      </w:r>
    </w:p>
    <w:p>
      <w:pPr>
        <w:spacing w:after="0" w:line="221" w:lineRule="exact"/>
        <w:rPr>
          <w:sz w:val="20"/>
          <w:szCs w:val="20"/>
          <w:color w:val="auto"/>
        </w:rPr>
      </w:pPr>
    </w:p>
    <w:p>
      <w:pPr>
        <w:jc w:val="both"/>
        <w:ind w:left="320" w:right="200"/>
        <w:spacing w:after="0" w:line="259" w:lineRule="auto"/>
        <w:rPr>
          <w:sz w:val="20"/>
          <w:szCs w:val="20"/>
          <w:color w:val="auto"/>
        </w:rPr>
      </w:pPr>
      <w:r>
        <w:rPr>
          <w:rFonts w:ascii="Times New Roman" w:cs="Times New Roman" w:eastAsia="Times New Roman" w:hAnsi="Times New Roman"/>
          <w:sz w:val="18"/>
          <w:szCs w:val="18"/>
          <w:color w:val="auto"/>
        </w:rPr>
        <w:t>The functional currency of the PRC entities in the Group is Chinese Renminbi (“RMB”) as determined based on ASC 830, “Foreign Currency Matters”, while the functional currency of the Company and its subsidiaries incorporated outside of the PRC is the United States dollar (“US$”), the HongKong dollar (“HKD”), or the Singapore dollar (“SGD”).</w:t>
      </w:r>
    </w:p>
    <w:p>
      <w:pPr>
        <w:spacing w:after="0" w:line="178" w:lineRule="exact"/>
        <w:rPr>
          <w:sz w:val="20"/>
          <w:szCs w:val="20"/>
          <w:color w:val="auto"/>
        </w:rPr>
      </w:pPr>
    </w:p>
    <w:p>
      <w:pPr>
        <w:ind w:left="320" w:right="120"/>
        <w:spacing w:after="0" w:line="252" w:lineRule="auto"/>
        <w:rPr>
          <w:sz w:val="20"/>
          <w:szCs w:val="20"/>
          <w:color w:val="auto"/>
        </w:rPr>
      </w:pPr>
      <w:r>
        <w:rPr>
          <w:rFonts w:ascii="Times New Roman" w:cs="Times New Roman" w:eastAsia="Times New Roman" w:hAnsi="Times New Roman"/>
          <w:sz w:val="18"/>
          <w:szCs w:val="18"/>
          <w:color w:val="auto"/>
        </w:rPr>
        <w:t>The financial statements of the Company and its subsidiaries incorporated outside of the PRC are translated from the functional currency to the reporting currency, the RMB. The Group uses the average exchange rate for the year and the exchange rate at the balance sheet date to translate the operating results and financial position, respectively. Equity accounts other than earnings generated in current year are translated into RMB at the appropriate historical rates. Translation differences are recorded in accumulated other comprehensive income, a component of shareholders’ equity.</w:t>
      </w:r>
    </w:p>
    <w:p>
      <w:pPr>
        <w:spacing w:after="0" w:line="185" w:lineRule="exact"/>
        <w:rPr>
          <w:sz w:val="20"/>
          <w:szCs w:val="20"/>
          <w:color w:val="auto"/>
        </w:rPr>
      </w:pPr>
    </w:p>
    <w:p>
      <w:pPr>
        <w:ind w:left="320" w:right="80"/>
        <w:spacing w:after="0" w:line="251"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the functional currencies are translated into the functional currencies using the exchange rates prevailing on the transaction dates. Monetary assets and liabilities denominated in foreign currencies are translated into the functional currencies using the applicable exchange rates at the balance sheet dates. Non-monetary items that are measured in terms of historical costs in foreign currency are translated into the functional currencies using the exchange rates at the dates of the initial transactions. Exchange gains and losses are included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80"/>
          </w:cols>
          <w:pgMar w:left="980" w:top="506" w:right="10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680" w:hanging="355"/>
        <w:spacing w:after="0"/>
        <w:tabs>
          <w:tab w:leader="none" w:pos="680" w:val="left"/>
        </w:tabs>
        <w:numPr>
          <w:ilvl w:val="1"/>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21" w:lineRule="exact"/>
        <w:rPr>
          <w:sz w:val="20"/>
          <w:szCs w:val="20"/>
          <w:color w:val="auto"/>
        </w:rPr>
      </w:pPr>
    </w:p>
    <w:p>
      <w:pPr>
        <w:ind w:left="320" w:right="80"/>
        <w:spacing w:after="0" w:line="255" w:lineRule="auto"/>
        <w:rPr>
          <w:sz w:val="20"/>
          <w:szCs w:val="20"/>
          <w:color w:val="auto"/>
        </w:rPr>
      </w:pPr>
      <w:r>
        <w:rPr>
          <w:rFonts w:ascii="Times New Roman" w:cs="Times New Roman" w:eastAsia="Times New Roman" w:hAnsi="Times New Roman"/>
          <w:sz w:val="18"/>
          <w:szCs w:val="18"/>
          <w:color w:val="auto"/>
        </w:rPr>
        <w:t>Amounts in US$ are presented for the convenience of the reader and are translated at the noon buying rate of US$1.00 to RMB 7.0999 on December 29, 2023, the last business day in fiscal year 2023, representing the noon buying rate set forth in the H.10 statistical release of the U.S. Federal Reserve Board. No representation is made that the RMB amounts could have been, or could be converted, realized or settled into US$ at such rate or at any other rate.</w:t>
      </w:r>
    </w:p>
    <w:p>
      <w:pPr>
        <w:spacing w:after="0" w:line="17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Cash and cash equivalents</w:t>
      </w:r>
    </w:p>
    <w:p>
      <w:pPr>
        <w:spacing w:after="0" w:line="221" w:lineRule="exact"/>
        <w:rPr>
          <w:sz w:val="20"/>
          <w:szCs w:val="20"/>
          <w:color w:val="auto"/>
        </w:rPr>
      </w:pPr>
    </w:p>
    <w:p>
      <w:pPr>
        <w:ind w:left="320" w:right="580"/>
        <w:spacing w:after="0" w:line="274" w:lineRule="auto"/>
        <w:rPr>
          <w:sz w:val="20"/>
          <w:szCs w:val="20"/>
          <w:color w:val="auto"/>
        </w:rPr>
      </w:pPr>
      <w:r>
        <w:rPr>
          <w:rFonts w:ascii="Times New Roman" w:cs="Times New Roman" w:eastAsia="Times New Roman" w:hAnsi="Times New Roman"/>
          <w:sz w:val="18"/>
          <w:szCs w:val="18"/>
          <w:color w:val="auto"/>
        </w:rPr>
        <w:t>Cash and cash equivalents consist of demand deposits, highly-liquid investments placed with banks which are unrestricted as to withdrawal or use, and have original maturities of three months or less.</w:t>
      </w:r>
    </w:p>
    <w:p>
      <w:pPr>
        <w:spacing w:after="0" w:line="159"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Short - term investments</w:t>
      </w:r>
    </w:p>
    <w:p>
      <w:pPr>
        <w:spacing w:after="0" w:line="221" w:lineRule="exact"/>
        <w:rPr>
          <w:sz w:val="20"/>
          <w:szCs w:val="20"/>
          <w:color w:val="auto"/>
        </w:rPr>
      </w:pPr>
    </w:p>
    <w:p>
      <w:pPr>
        <w:ind w:left="320" w:right="40"/>
        <w:spacing w:after="0" w:line="274" w:lineRule="auto"/>
        <w:rPr>
          <w:sz w:val="20"/>
          <w:szCs w:val="20"/>
          <w:color w:val="auto"/>
        </w:rPr>
      </w:pPr>
      <w:r>
        <w:rPr>
          <w:rFonts w:ascii="Times New Roman" w:cs="Times New Roman" w:eastAsia="Times New Roman" w:hAnsi="Times New Roman"/>
          <w:sz w:val="18"/>
          <w:szCs w:val="18"/>
          <w:color w:val="auto"/>
        </w:rPr>
        <w:t>Short - term investments purchased primarily represent structured deposits that are principal - protected and provide returns in the form of both fixed and variable interests with original maturities of less than one year.</w:t>
      </w:r>
    </w:p>
    <w:p>
      <w:pPr>
        <w:spacing w:after="0" w:line="159"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Term deposits</w:t>
      </w:r>
    </w:p>
    <w:p>
      <w:pPr>
        <w:spacing w:after="0" w:line="221" w:lineRule="exact"/>
        <w:rPr>
          <w:sz w:val="20"/>
          <w:szCs w:val="20"/>
          <w:color w:val="auto"/>
        </w:rPr>
      </w:pPr>
    </w:p>
    <w:p>
      <w:pPr>
        <w:ind w:left="320" w:right="100"/>
        <w:spacing w:after="0" w:line="255" w:lineRule="auto"/>
        <w:rPr>
          <w:sz w:val="20"/>
          <w:szCs w:val="20"/>
          <w:color w:val="auto"/>
        </w:rPr>
      </w:pPr>
      <w:r>
        <w:rPr>
          <w:rFonts w:ascii="Times New Roman" w:cs="Times New Roman" w:eastAsia="Times New Roman" w:hAnsi="Times New Roman"/>
          <w:sz w:val="18"/>
          <w:szCs w:val="18"/>
          <w:color w:val="auto"/>
        </w:rPr>
        <w:t>Term deposits represent term deposits or certificate of deposits which bear fixed interest rate. The term - deposits or certificate of deposits with remaining maturities less than one year were classified as “Term deposit - current”, while term deposits or certificate of deposits with remaining maturities exceeding one year for which the Group has the positive intent to hold for more than one year were classified as “Term deposit - noncurrent”.</w:t>
      </w:r>
    </w:p>
    <w:p>
      <w:pPr>
        <w:spacing w:after="0" w:line="204" w:lineRule="exact"/>
        <w:rPr>
          <w:sz w:val="20"/>
          <w:szCs w:val="20"/>
          <w:color w:val="auto"/>
        </w:rPr>
      </w:pPr>
    </w:p>
    <w:p>
      <w:pPr>
        <w:ind w:left="640" w:hanging="315"/>
        <w:spacing w:after="0"/>
        <w:tabs>
          <w:tab w:leader="none" w:pos="640" w:val="left"/>
        </w:tabs>
        <w:numPr>
          <w:ilvl w:val="0"/>
          <w:numId w:val="8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Restricted cash</w:t>
      </w:r>
    </w:p>
    <w:p>
      <w:pPr>
        <w:spacing w:after="0" w:line="228" w:lineRule="exact"/>
        <w:rPr>
          <w:sz w:val="20"/>
          <w:szCs w:val="20"/>
          <w:color w:val="auto"/>
        </w:rPr>
      </w:pPr>
    </w:p>
    <w:p>
      <w:pPr>
        <w:ind w:left="320" w:right="160"/>
        <w:spacing w:after="0" w:line="255" w:lineRule="auto"/>
        <w:rPr>
          <w:sz w:val="20"/>
          <w:szCs w:val="20"/>
          <w:color w:val="auto"/>
        </w:rPr>
      </w:pPr>
      <w:r>
        <w:rPr>
          <w:rFonts w:ascii="Times New Roman" w:cs="Times New Roman" w:eastAsia="Times New Roman" w:hAnsi="Times New Roman"/>
          <w:sz w:val="18"/>
          <w:szCs w:val="18"/>
          <w:color w:val="auto"/>
        </w:rPr>
        <w:t>Restricted cash is reported separately on the face of the Consolidated Balance Sheets and is included in the total cash and cash equivalents, and restricted cash in the Consolidated Statements of Cash Flows. The Group’s restricted cash mainly represents security deposits held in bank accounts for bank guarantee letters and prepaid card business. Restricted cash is classified as current and non-current based on the duration of the restriction.</w:t>
      </w:r>
    </w:p>
    <w:p>
      <w:pPr>
        <w:spacing w:after="0" w:line="17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221" w:lineRule="exact"/>
        <w:rPr>
          <w:sz w:val="20"/>
          <w:szCs w:val="20"/>
          <w:color w:val="auto"/>
        </w:rPr>
      </w:pPr>
    </w:p>
    <w:p>
      <w:pPr>
        <w:ind w:left="320" w:right="220"/>
        <w:spacing w:after="0" w:line="255" w:lineRule="auto"/>
        <w:rPr>
          <w:sz w:val="20"/>
          <w:szCs w:val="20"/>
          <w:color w:val="auto"/>
        </w:rPr>
      </w:pPr>
      <w:r>
        <w:rPr>
          <w:rFonts w:ascii="Times New Roman" w:cs="Times New Roman" w:eastAsia="Times New Roman" w:hAnsi="Times New Roman"/>
          <w:sz w:val="18"/>
          <w:szCs w:val="18"/>
          <w:color w:val="auto"/>
        </w:rPr>
        <w:t>Accounts receivable represents the amounts that the Group has an unconditional right to consideration. Accounts receivable that are ultimately deemed to be uncollectible, and for which collection efforts have been exhausted, are written off against the allowance for credit losses. As of December 31, 2022 and 2023, the allowance for credit losses for the Group’s account receivable was RMB0.2 million and RMB nil million (US$nil), respectively.</w:t>
      </w:r>
    </w:p>
    <w:p>
      <w:pPr>
        <w:spacing w:after="0" w:line="1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Expected Credit Losses</w:t>
      </w:r>
    </w:p>
    <w:p>
      <w:pPr>
        <w:spacing w:after="0" w:line="221"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Group’s account receivable, receivables from online payment platforms, other receivables and other certain financial assets are within the scope of ASU No. 2016-13. The Group maintains an estimated allowance for credit losses to reduce them to the amount that it believes will be collected. When developing an estimation of expected credit losses, the Group applies the historical loss experience with appropriate adjustment. The Group considers available information relevant to assessing the collectability of cash flows. This information may include internal information, external information, or a combination of both relating to past events, current conditions, and reasonable and supportable forecasts. The Group adjusts the allowance percentage periodically when there are significant differences between estimated bad debts and actual bad debts. If there is strong evidence indicating that these financial assets are likely to be unrecoverable, the Group also makes specific allowance in the period in which a loss is determined to be probable. The balance of these financial assets is written off after all collection efforts have been exhausted.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15" w:lineRule="exact"/>
        <w:rPr>
          <w:sz w:val="20"/>
          <w:szCs w:val="20"/>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(m)</w:t>
      </w:r>
      <w:r>
        <w:rPr>
          <w:sz w:val="20"/>
          <w:szCs w:val="20"/>
          <w:color w:val="auto"/>
        </w:rPr>
        <w:tab/>
      </w:r>
      <w:r>
        <w:rPr>
          <w:rFonts w:ascii="Times New Roman" w:cs="Times New Roman" w:eastAsia="Times New Roman" w:hAnsi="Times New Roman"/>
          <w:sz w:val="17"/>
          <w:szCs w:val="17"/>
          <w:b w:val="1"/>
          <w:bCs w:val="1"/>
          <w:i w:val="1"/>
          <w:iCs w:val="1"/>
          <w:color w:val="auto"/>
        </w:rPr>
        <w:t>Inventories</w:t>
      </w:r>
    </w:p>
    <w:p>
      <w:pPr>
        <w:spacing w:after="0" w:line="221"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of inventory are determined using the weighted average method. The Company recorded inventory reserves to write down the cost of inventory to the estimated net realizable value due to obsolete and slow-moving inventories, which is dependent upon factors such as historical and forecasted consumer demand, and application of the specific identification method. As of December 31, 2022 and 2023, inventory reserves were RMB33.4 million and RMB30.0 million (US$4.2 million), respectively. Write downs are recorded in cost of materials in the consolidated statements of operations and comprehensive income.</w:t>
      </w:r>
    </w:p>
    <w:p>
      <w:pPr>
        <w:spacing w:after="0" w:line="181"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w:t>
      </w:r>
    </w:p>
    <w:p>
      <w:pPr>
        <w:spacing w:after="0" w:line="221" w:lineRule="exact"/>
        <w:rPr>
          <w:sz w:val="20"/>
          <w:szCs w:val="20"/>
          <w:color w:val="auto"/>
        </w:rPr>
      </w:pPr>
    </w:p>
    <w:p>
      <w:pPr>
        <w:ind w:left="320" w:right="40"/>
        <w:spacing w:after="0" w:line="255" w:lineRule="auto"/>
        <w:rPr>
          <w:sz w:val="20"/>
          <w:szCs w:val="20"/>
          <w:color w:val="auto"/>
        </w:rPr>
      </w:pPr>
      <w:r>
        <w:rPr>
          <w:rFonts w:ascii="Times New Roman" w:cs="Times New Roman" w:eastAsia="Times New Roman" w:hAnsi="Times New Roman"/>
          <w:sz w:val="18"/>
          <w:szCs w:val="18"/>
          <w:color w:val="auto"/>
        </w:rPr>
        <w:t>Property and equipment primarily consist of office buildings, store operating equipment, mechanical equipment, leasehold improvements, office equipment and others. Property and equipment are stated at cost less accumulated depreciation and any recorded impairment. Property and equipment are depreciated using the straight-line method over the estimated useful lives of the assets, as follows: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60" w:type="dxa"/>
            <w:vAlign w:val="bottom"/>
            <w:tcBorders>
              <w:bottom w:val="single" w:sz="8" w:color="CCEEFF"/>
            </w:tcBorders>
          </w:tcPr>
          <w:p>
            <w:pPr>
              <w:spacing w:after="0"/>
              <w:rPr>
                <w:sz w:val="14"/>
                <w:szCs w:val="14"/>
                <w:color w:val="auto"/>
              </w:rPr>
            </w:pPr>
          </w:p>
        </w:tc>
        <w:tc>
          <w:tcPr>
            <w:tcW w:w="54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5"/>
        </w:trPr>
        <w:tc>
          <w:tcPr>
            <w:tcW w:w="35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Store operating equipment</w:t>
            </w:r>
          </w:p>
        </w:tc>
        <w:tc>
          <w:tcPr>
            <w:tcW w:w="26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5 years</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others</w:t>
            </w:r>
          </w:p>
        </w:tc>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3-5 years</w:t>
            </w:r>
          </w:p>
        </w:tc>
      </w:tr>
      <w:tr>
        <w:trPr>
          <w:trHeight w:val="21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Over the shorter of lease term or the estimated useful lives of the assets</w:t>
            </w:r>
          </w:p>
        </w:tc>
      </w:tr>
      <w:tr>
        <w:trPr>
          <w:trHeight w:val="21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Mechanical equipment</w:t>
            </w:r>
          </w:p>
        </w:tc>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years</w:t>
            </w:r>
          </w:p>
        </w:tc>
      </w:tr>
      <w:tr>
        <w:trPr>
          <w:trHeight w:val="212"/>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buildings</w:t>
            </w:r>
          </w:p>
        </w:tc>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40-50 years</w:t>
            </w:r>
          </w:p>
        </w:tc>
      </w:tr>
    </w:tbl>
    <w:p>
      <w:pPr>
        <w:spacing w:after="0" w:line="194" w:lineRule="exact"/>
        <w:rPr>
          <w:sz w:val="20"/>
          <w:szCs w:val="20"/>
          <w:color w:val="auto"/>
        </w:rPr>
      </w:pPr>
    </w:p>
    <w:p>
      <w:pPr>
        <w:ind w:left="320" w:right="120"/>
        <w:spacing w:after="0" w:line="259"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items and the depreciation of these assets commences when the assets are ready for their intended use.</w:t>
      </w:r>
    </w:p>
    <w:p>
      <w:pPr>
        <w:spacing w:after="0" w:line="178" w:lineRule="exact"/>
        <w:rPr>
          <w:sz w:val="20"/>
          <w:szCs w:val="20"/>
          <w:color w:val="auto"/>
        </w:rPr>
      </w:pPr>
    </w:p>
    <w:p>
      <w:pPr>
        <w:ind w:left="320" w:right="340"/>
        <w:spacing w:after="0" w:line="255"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accumulated depreciation and relevant impairment, with any resulting gain or loss reflected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15"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 other than goodwill</w:t>
      </w:r>
    </w:p>
    <w:p>
      <w:pPr>
        <w:spacing w:after="0" w:line="221"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8"/>
          <w:szCs w:val="18"/>
          <w:color w:val="auto"/>
        </w:rPr>
        <w:t>The Group evaluates its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the Group recognizes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91" w:lineRule="exact"/>
        <w:rPr>
          <w:sz w:val="20"/>
          <w:szCs w:val="20"/>
          <w:color w:val="auto"/>
        </w:rPr>
      </w:pPr>
    </w:p>
    <w:p>
      <w:pPr>
        <w:ind w:left="320" w:right="20"/>
        <w:spacing w:after="0" w:line="252" w:lineRule="auto"/>
        <w:rPr>
          <w:sz w:val="20"/>
          <w:szCs w:val="20"/>
          <w:color w:val="auto"/>
        </w:rPr>
      </w:pPr>
      <w:r>
        <w:rPr>
          <w:rFonts w:ascii="Times New Roman" w:cs="Times New Roman" w:eastAsia="Times New Roman" w:hAnsi="Times New Roman"/>
          <w:sz w:val="18"/>
          <w:szCs w:val="18"/>
          <w:color w:val="auto"/>
        </w:rPr>
        <w:t>The Group estimates of future cash flows requires management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the Group may be exposed to additional impairments of long-lived assets.</w:t>
      </w:r>
    </w:p>
    <w:p>
      <w:pPr>
        <w:spacing w:after="0" w:line="185" w:lineRule="exact"/>
        <w:rPr>
          <w:sz w:val="20"/>
          <w:szCs w:val="20"/>
          <w:color w:val="auto"/>
        </w:rPr>
      </w:pPr>
    </w:p>
    <w:p>
      <w:pPr>
        <w:ind w:left="320" w:right="100"/>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2021, 2022 and 2023, the Group recognized impairment of long-lived assets other than goodwill of RMB21.4 million, RMB221.8 million and RMB5.2 million (US$0.7 million), respectively.</w:t>
      </w:r>
    </w:p>
    <w:p>
      <w:pPr>
        <w:spacing w:after="0" w:line="163"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Impairment loss of long-lived assets mainly represented RMB21.4 million for the asset group related to store operating equipment and others for the year ended December 31, 2021, and RMB221.8 million for the asset group related to Luckin Coffee EXPRESS machines for the year ended December 31, 2022 and RMB5.2 million mainly for the assets in relation to Luckin Tea for the year ended December 31, 2023.</w:t>
      </w:r>
    </w:p>
    <w:p>
      <w:pPr>
        <w:spacing w:after="0" w:line="176"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Derivative financial instrument</w:t>
      </w:r>
    </w:p>
    <w:p>
      <w:pPr>
        <w:spacing w:after="0" w:line="115" w:lineRule="exact"/>
        <w:rPr>
          <w:sz w:val="20"/>
          <w:szCs w:val="20"/>
          <w:color w:val="auto"/>
        </w:rPr>
      </w:pPr>
    </w:p>
    <w:p>
      <w:pPr>
        <w:ind w:left="320" w:right="160"/>
        <w:spacing w:after="0" w:line="252" w:lineRule="auto"/>
        <w:rPr>
          <w:sz w:val="20"/>
          <w:szCs w:val="20"/>
          <w:color w:val="auto"/>
        </w:rPr>
      </w:pPr>
      <w:r>
        <w:rPr>
          <w:rFonts w:ascii="Times New Roman" w:cs="Times New Roman" w:eastAsia="Times New Roman" w:hAnsi="Times New Roman"/>
          <w:sz w:val="18"/>
          <w:szCs w:val="18"/>
          <w:color w:val="auto"/>
        </w:rPr>
        <w:t>All contracts that meet the definition of a derivative are recognized on the Group’s consolidated balance sheets as either assets or liabilities and recorded at fair value. The Group’s derivative financial instruments primarily consisted of derivative asset bifurcated from the New Notes (see Note 12 Convertible Senior Notes for details). Changes in the fair value of derivatives are recognized in the Group’s consolidated statements of operations and comprehensive income as they were not qualified for hedge accounting. As of December 31, 2022 and 2023, there was no balance of the derivative instruments.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15"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Fair value</w:t>
      </w:r>
    </w:p>
    <w:p>
      <w:pPr>
        <w:spacing w:after="0" w:line="221" w:lineRule="exact"/>
        <w:rPr>
          <w:sz w:val="20"/>
          <w:szCs w:val="20"/>
          <w:color w:val="auto"/>
        </w:rPr>
      </w:pPr>
    </w:p>
    <w:p>
      <w:pPr>
        <w:ind w:left="320" w:right="100"/>
        <w:spacing w:after="0" w:line="255"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left="320" w:right="220"/>
        <w:spacing w:after="0" w:line="259" w:lineRule="auto"/>
        <w:rPr>
          <w:sz w:val="20"/>
          <w:szCs w:val="20"/>
          <w:color w:val="auto"/>
        </w:rPr>
      </w:pPr>
      <w:r>
        <w:rPr>
          <w:rFonts w:ascii="Times New Roman" w:cs="Times New Roman" w:eastAsia="Times New Roman" w:hAnsi="Times New Roman"/>
          <w:sz w:val="18"/>
          <w:szCs w:val="18"/>
          <w:color w:val="auto"/>
        </w:rPr>
        <w:t>Accounting guidance establishes a three-tier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198" w:lineRule="exact"/>
        <w:rPr>
          <w:sz w:val="20"/>
          <w:szCs w:val="20"/>
          <w:color w:val="auto"/>
        </w:rPr>
      </w:pPr>
    </w:p>
    <w:p>
      <w:pPr>
        <w:ind w:left="320" w:right="200"/>
        <w:spacing w:after="0" w:line="252"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5"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and restricted cash, term deposits, short term investments, accounts payable, receivables from online payment platforms, accounts receivable and other receivables and payables. Cash equivalents, short term investments, term deposits and security deposits held in bank accounts for bank guarantee letters which is included in restricted cash are measured at fair value based on the pervasive interest rates in the market, which are also the interest rates as stated in the contracts with the banks. The Group classifies the valuation techniques that use the pervasive interest rates input as Level 2 of fair value measurements. The carrying values of financial instruments except for above mentioned items are measured at amortized cost, which approximate their fair values due to their short-term maturities.</w:t>
      </w:r>
    </w:p>
    <w:p>
      <w:pPr>
        <w:spacing w:after="0" w:line="183"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8"/>
          <w:szCs w:val="18"/>
          <w:b w:val="1"/>
          <w:bCs w:val="1"/>
          <w:i w:val="1"/>
          <w:iCs w:val="1"/>
          <w:color w:val="auto"/>
        </w:rPr>
        <w:t>(r)</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39"/>
        </w:trPr>
        <w:tc>
          <w:tcPr>
            <w:tcW w:w="24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r>
      <w:tr>
        <w:trPr>
          <w:trHeight w:val="139"/>
        </w:trPr>
        <w:tc>
          <w:tcPr>
            <w:tcW w:w="2420" w:type="dxa"/>
            <w:vAlign w:val="bottom"/>
          </w:tcPr>
          <w:p>
            <w:pPr>
              <w:spacing w:after="0"/>
              <w:rPr>
                <w:sz w:val="12"/>
                <w:szCs w:val="12"/>
                <w:color w:val="auto"/>
              </w:rPr>
            </w:pPr>
          </w:p>
        </w:tc>
        <w:tc>
          <w:tcPr>
            <w:tcW w:w="84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52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920" w:type="dxa"/>
            <w:vAlign w:val="bottom"/>
            <w:tcBorders>
              <w:bottom w:val="single" w:sz="8" w:color="auto"/>
            </w:tcBorders>
          </w:tcPr>
          <w:p>
            <w:pPr>
              <w:jc w:val="right"/>
              <w:ind w:right="21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92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520" w:type="dxa"/>
            <w:vAlign w:val="bottom"/>
            <w:tcBorders>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2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ind w:left="380"/>
              <w:spacing w:after="0" w:line="192" w:lineRule="exact"/>
              <w:rPr>
                <w:sz w:val="20"/>
                <w:szCs w:val="20"/>
                <w:color w:val="auto"/>
              </w:rPr>
            </w:pPr>
            <w:r>
              <w:rPr>
                <w:rFonts w:ascii="Times New Roman" w:cs="Times New Roman" w:eastAsia="Times New Roman" w:hAnsi="Times New Roman"/>
                <w:sz w:val="18"/>
                <w:szCs w:val="18"/>
                <w:color w:val="auto"/>
                <w:w w:val="93"/>
              </w:rPr>
              <w:t>(in thousands, except</w:t>
            </w:r>
          </w:p>
        </w:tc>
        <w:tc>
          <w:tcPr>
            <w:tcW w:w="110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auto"/>
                <w:w w:val="92"/>
              </w:rPr>
              <w:t>for percentages)</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6,659,218</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10,223,720</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18,677,390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2,630,655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2"/>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Freshly brewed drinks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5,909,655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9,079,349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16,877,880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2"/>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Other products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395,573</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686,837</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1,241,868</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174,913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353,990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457,534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557,642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94"/>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Revenues from partnership</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0"/>
        </w:trPr>
        <w:tc>
          <w:tcPr>
            <w:tcW w:w="2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stores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1,306,105</w:t>
            </w: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3,069,262</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6,225,776</w:t>
            </w:r>
          </w:p>
        </w:tc>
        <w:tc>
          <w:tcPr>
            <w:tcW w:w="1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876,882</w:t>
            </w:r>
          </w:p>
        </w:tc>
        <w:tc>
          <w:tcPr>
            <w:tcW w:w="2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5"/>
        </w:trPr>
        <w:tc>
          <w:tcPr>
            <w:tcW w:w="24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net revenues</w:t>
            </w: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7,965,323</w:t>
            </w: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13,292,982</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24,903,166</w:t>
            </w: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3,507,537</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description of the principal revenue generating activities of the Group is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680" w:hanging="355"/>
        <w:spacing w:after="0"/>
        <w:tabs>
          <w:tab w:leader="none" w:pos="680" w:val="left"/>
        </w:tabs>
        <w:numPr>
          <w:ilvl w:val="1"/>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 from product sales</w:t>
      </w:r>
    </w:p>
    <w:p>
      <w:pPr>
        <w:spacing w:after="0" w:line="221" w:lineRule="exact"/>
        <w:rPr>
          <w:sz w:val="20"/>
          <w:szCs w:val="20"/>
          <w:color w:val="auto"/>
        </w:rPr>
      </w:pPr>
    </w:p>
    <w:p>
      <w:pPr>
        <w:ind w:left="320" w:right="160"/>
        <w:spacing w:after="0" w:line="251" w:lineRule="auto"/>
        <w:rPr>
          <w:sz w:val="20"/>
          <w:szCs w:val="20"/>
          <w:color w:val="auto"/>
        </w:rPr>
      </w:pPr>
      <w:r>
        <w:rPr>
          <w:rFonts w:ascii="Times New Roman" w:cs="Times New Roman" w:eastAsia="Times New Roman" w:hAnsi="Times New Roman"/>
          <w:sz w:val="18"/>
          <w:szCs w:val="18"/>
          <w:color w:val="auto"/>
        </w:rPr>
        <w:t>The Group offers freshly brewed drinks and other products and services (including pre-made food, beverage and merchandise items, membership and delivery services) mainly through its physical self-operated stores and online e-commerce platforms. Total revenues from product sales were RMB6,659.2 million, RMB10,223.7 million and RMB18,677.4 million (US$2,630.7 million) for the years ended December 31, 2021, 2022 and 2023, respectively, including revenues from self-operated stores of RMB6,528.2 million, RMB9,786.2 million and RMB17,880.1 million (US$2,518.4 million) for the years ended December 31, 2021, 2022 and 2023, respectively.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from product sales include:</w:t>
      </w:r>
    </w:p>
    <w:p>
      <w:pPr>
        <w:spacing w:after="0" w:line="215" w:lineRule="exact"/>
        <w:rPr>
          <w:sz w:val="20"/>
          <w:szCs w:val="20"/>
          <w:color w:val="auto"/>
        </w:rPr>
      </w:pPr>
    </w:p>
    <w:p>
      <w:pPr>
        <w:ind w:left="660" w:hanging="309"/>
        <w:spacing w:after="0" w:line="25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freshly brewed drinks</w:t>
      </w:r>
      <w:r>
        <w:rPr>
          <w:rFonts w:ascii="Times New Roman" w:cs="Times New Roman" w:eastAsia="Times New Roman" w:hAnsi="Times New Roman"/>
          <w:sz w:val="18"/>
          <w:szCs w:val="18"/>
          <w:color w:val="auto"/>
        </w:rPr>
        <w:t>. The Group offers an array of freshly brewed drinks, with a focus on freshly brewed coffee,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non-coffee drinks such as Luckin Exfreezo series. Net revenues from freshly brewed drinks were RMB5,909.7 million, RMB9,079.3 million and RMB16,877.9 million (US$2,377.2 million) for the years ended December 31, 2021, 2022 and 2023, respectively.</w:t>
      </w:r>
    </w:p>
    <w:p>
      <w:pPr>
        <w:spacing w:after="0" w:line="176" w:lineRule="exact"/>
        <w:rPr>
          <w:rFonts w:ascii="Times New Roman" w:cs="Times New Roman" w:eastAsia="Times New Roman" w:hAnsi="Times New Roman"/>
          <w:sz w:val="18"/>
          <w:szCs w:val="18"/>
          <w:color w:val="auto"/>
        </w:rPr>
      </w:pPr>
    </w:p>
    <w:p>
      <w:pPr>
        <w:ind w:left="660" w:right="180" w:hanging="309"/>
        <w:spacing w:after="0" w:line="25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from other products</w:t>
      </w:r>
      <w:r>
        <w:rPr>
          <w:rFonts w:ascii="Times New Roman" w:cs="Times New Roman" w:eastAsia="Times New Roman" w:hAnsi="Times New Roman"/>
          <w:sz w:val="18"/>
          <w:szCs w:val="18"/>
          <w:color w:val="auto"/>
        </w:rPr>
        <w:t>. Other products mainly consist of food and beverage items, such as light meals and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including premium instant coffee, inspirational cups and other consumer goods. Net revenues from other products were RMB395.6 million, RMB686.8 million and RMB1,241.9 million (US$174.9 million) for the years ended December 31, 2021, 2022 and 2023, respectively.</w:t>
      </w:r>
    </w:p>
    <w:p>
      <w:pPr>
        <w:spacing w:after="0" w:line="176" w:lineRule="exact"/>
        <w:rPr>
          <w:rFonts w:ascii="Times New Roman" w:cs="Times New Roman" w:eastAsia="Times New Roman" w:hAnsi="Times New Roman"/>
          <w:sz w:val="18"/>
          <w:szCs w:val="18"/>
          <w:color w:val="auto"/>
        </w:rPr>
      </w:pPr>
    </w:p>
    <w:p>
      <w:pPr>
        <w:jc w:val="both"/>
        <w:ind w:left="660" w:right="20" w:hanging="309"/>
        <w:spacing w:after="0" w:line="283" w:lineRule="auto"/>
        <w:tabs>
          <w:tab w:leader="none" w:pos="6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Revenues from others</w:t>
      </w:r>
      <w:r>
        <w:rPr>
          <w:rFonts w:ascii="Times New Roman" w:cs="Times New Roman" w:eastAsia="Times New Roman" w:hAnsi="Times New Roman"/>
          <w:sz w:val="17"/>
          <w:szCs w:val="17"/>
          <w:color w:val="auto"/>
        </w:rPr>
        <w:t>. Revenues from others mainly include delivery fees derived from self-operated stores paid by the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membership fees collected from the subscribed members. Revenues from others were RMB354.0 million, RMB457.5 million and RMB557.6 million (US$78.5 million) for the years ended December 31, 2021, 2022 and 2023, respectively.</w:t>
      </w:r>
    </w:p>
    <w:p>
      <w:pPr>
        <w:spacing w:after="0" w:line="158" w:lineRule="exact"/>
        <w:rPr>
          <w:sz w:val="20"/>
          <w:szCs w:val="20"/>
          <w:color w:val="auto"/>
        </w:rPr>
      </w:pPr>
    </w:p>
    <w:p>
      <w:pPr>
        <w:ind w:left="320" w:right="120"/>
        <w:spacing w:after="0" w:line="263" w:lineRule="auto"/>
        <w:rPr>
          <w:sz w:val="20"/>
          <w:szCs w:val="20"/>
          <w:color w:val="auto"/>
        </w:rPr>
      </w:pPr>
      <w:r>
        <w:rPr>
          <w:rFonts w:ascii="Times New Roman" w:cs="Times New Roman" w:eastAsia="Times New Roman" w:hAnsi="Times New Roman"/>
          <w:sz w:val="17"/>
          <w:szCs w:val="17"/>
          <w:color w:val="auto"/>
        </w:rPr>
        <w:t>Customers place orders for products mainly through the Group’s self-developed APP, Weixin mini-program and other third-party platforms with different options to pay through third-party online payment platforms. The Group recognizes revenues at point in time when the Group satisfies its performance obligation upon the control of the promised products are transferred to the customers or distributors. Delivery service is provided if it is a delivery order. Delivery service is determined as an activity to fulfill the Group’s promise to transfer the products, rather than another distinct performance obligation as it is performed before the customers obtain control of the products. Revenues represent the amount of consideration that the Group is entitled to, including products settlement price and delivery fees charged to customers, net of value-added tax (“VAT”), surcharges, discounts and returns, if any. There is no significant financing component or variable consideration in the transaction price. The Group reasonably estimates the possibility of return based on the historical experience, and there were no material returns historically. When a customer receives a discount for purchasing a bundle of goods, that discount is allocated proportionately among the performance obligations using the relative stand-alone selling price method. The Group also provides subscription membership service, which provides the members the access to an evolving suite of benefits, such as extra discount, limited-time promotions and special offer on selected product offerings and new products, which represent a single stand-ready obligation. Membership fees are paid for at the time of or in advance of delivering the services. Revenues from such arrangements are recognized over the subscription period on a straight-line basis.</w:t>
      </w:r>
    </w:p>
    <w:p>
      <w:pPr>
        <w:spacing w:after="0" w:line="181" w:lineRule="exact"/>
        <w:rPr>
          <w:sz w:val="20"/>
          <w:szCs w:val="20"/>
          <w:color w:val="auto"/>
        </w:rPr>
      </w:pPr>
    </w:p>
    <w:p>
      <w:pPr>
        <w:ind w:left="320" w:right="100"/>
        <w:spacing w:after="0" w:line="250" w:lineRule="auto"/>
        <w:rPr>
          <w:sz w:val="20"/>
          <w:szCs w:val="20"/>
          <w:color w:val="auto"/>
        </w:rPr>
      </w:pPr>
      <w:r>
        <w:rPr>
          <w:rFonts w:ascii="Times New Roman" w:cs="Times New Roman" w:eastAsia="Times New Roman" w:hAnsi="Times New Roman"/>
          <w:sz w:val="18"/>
          <w:szCs w:val="18"/>
          <w:color w:val="auto"/>
        </w:rPr>
        <w:t>The Group evaluates whether it is appropriate to record the gross amount of product sales and related costs acting as a principal or the net amount acting as an agent. The Group is a principal for the substantial majority of product sales as the Group produces or obtains control of the specified goods before they are transferred to the customers, except for a portion of revenue from products sold on the Group’s own e-commerce platform, for which the Group’s obligation is to facilitate third-party merchants in fulfilling their performance obligation for the goods displayed on the Group’s own e-commerce platform acting as an agent. Revenue from product sales as an agent of RMB2.0 million, RMB1.2 million and RMB0.1 million (US$12.4 thousands) for the years ended December 31, 2021, 2022 and 2023,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80"/>
          </w:cols>
          <w:pgMar w:left="980" w:top="505" w:right="10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680" w:hanging="355"/>
        <w:spacing w:after="0"/>
        <w:tabs>
          <w:tab w:leader="none" w:pos="680" w:val="left"/>
        </w:tabs>
        <w:numPr>
          <w:ilvl w:val="1"/>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 from partnership stores</w:t>
      </w:r>
    </w:p>
    <w:p>
      <w:pPr>
        <w:spacing w:after="0" w:line="221" w:lineRule="exact"/>
        <w:rPr>
          <w:sz w:val="20"/>
          <w:szCs w:val="20"/>
          <w:color w:val="auto"/>
        </w:rPr>
      </w:pPr>
    </w:p>
    <w:p>
      <w:pPr>
        <w:ind w:left="320" w:right="240"/>
        <w:spacing w:after="0" w:line="255" w:lineRule="auto"/>
        <w:rPr>
          <w:sz w:val="20"/>
          <w:szCs w:val="20"/>
          <w:color w:val="auto"/>
        </w:rPr>
      </w:pPr>
      <w:r>
        <w:rPr>
          <w:rFonts w:ascii="Times New Roman" w:cs="Times New Roman" w:eastAsia="Times New Roman" w:hAnsi="Times New Roman"/>
          <w:sz w:val="18"/>
          <w:szCs w:val="18"/>
          <w:color w:val="auto"/>
        </w:rPr>
        <w:t>The Group cooperates with selective retail partners to operate the partnership stores. Under retail partnership model, the Group sells materials such as coffee beans, milk, food and related products to retail partners and shares simplified and standardized operation experience and provides use right of brand name and sales and supply chain management in exchange for a profit-sharing on retail sales. Retail partners are responsible for pre-opening capital investments and operating costs.</w:t>
      </w:r>
    </w:p>
    <w:p>
      <w:pPr>
        <w:spacing w:after="0" w:line="180" w:lineRule="exact"/>
        <w:rPr>
          <w:sz w:val="20"/>
          <w:szCs w:val="20"/>
          <w:color w:val="auto"/>
        </w:rPr>
      </w:pPr>
    </w:p>
    <w:p>
      <w:pPr>
        <w:jc w:val="both"/>
        <w:ind w:left="320" w:right="500"/>
        <w:spacing w:after="0" w:line="259" w:lineRule="auto"/>
        <w:rPr>
          <w:sz w:val="20"/>
          <w:szCs w:val="20"/>
          <w:color w:val="auto"/>
        </w:rPr>
      </w:pPr>
      <w:r>
        <w:rPr>
          <w:rFonts w:ascii="Times New Roman" w:cs="Times New Roman" w:eastAsia="Times New Roman" w:hAnsi="Times New Roman"/>
          <w:sz w:val="18"/>
          <w:szCs w:val="18"/>
          <w:color w:val="auto"/>
        </w:rPr>
        <w:t>Revenues from partnership stores mainly consist of sales of materials, equipment and store construction-related materials to the partnership stores, profit-sharing revenue from the partnership stores for using the Luckin Coffee or Luckin Tea brand as well as integrated store operation solution, and other services including delivery services and pre-opening services.</w:t>
      </w:r>
    </w:p>
    <w:p>
      <w:pPr>
        <w:spacing w:after="0" w:line="178" w:lineRule="exact"/>
        <w:rPr>
          <w:sz w:val="20"/>
          <w:szCs w:val="20"/>
          <w:color w:val="auto"/>
        </w:rPr>
      </w:pPr>
    </w:p>
    <w:p>
      <w:pPr>
        <w:ind w:left="320" w:right="40"/>
        <w:spacing w:after="0" w:line="249" w:lineRule="auto"/>
        <w:rPr>
          <w:sz w:val="20"/>
          <w:szCs w:val="20"/>
          <w:color w:val="auto"/>
        </w:rPr>
      </w:pPr>
      <w:r>
        <w:rPr>
          <w:rFonts w:ascii="Times New Roman" w:cs="Times New Roman" w:eastAsia="Times New Roman" w:hAnsi="Times New Roman"/>
          <w:sz w:val="18"/>
          <w:szCs w:val="18"/>
          <w:color w:val="auto"/>
        </w:rPr>
        <w:t>For material sales, the Group’s performance obligation is to transfer required materials at fixed unit price to retail partners. The Group provides allowance for materials sales as consideration payable to retail partners when the partnership stores sell products to customers catering for the Group’s promotion strategy. Allowance for partnership stores is accounted for as a reduction of the transaction price, which is usually determined upon the completion of each order. Therefore, sales of materials are generally recognized on the partnership stores’ acceptance of materials, the settlement price is then deducted by the allowance provided to partnership stores that is determined upon the products are sold in partnership stores, if any. Revenue from material sales to partnership stores were RMB834.7 million, RMB2,011.2 million and RMB4,157.6 million (US$585.6 million) for the years ended December 31, 2021, 2022 and 2023, respectively.</w:t>
      </w:r>
    </w:p>
    <w:p>
      <w:pPr>
        <w:spacing w:after="0" w:line="190" w:lineRule="exact"/>
        <w:rPr>
          <w:sz w:val="20"/>
          <w:szCs w:val="20"/>
          <w:color w:val="auto"/>
        </w:rPr>
      </w:pPr>
    </w:p>
    <w:p>
      <w:pPr>
        <w:ind w:left="320" w:right="20"/>
        <w:spacing w:after="0" w:line="249" w:lineRule="auto"/>
        <w:rPr>
          <w:sz w:val="20"/>
          <w:szCs w:val="20"/>
          <w:color w:val="auto"/>
        </w:rPr>
      </w:pPr>
      <w:r>
        <w:rPr>
          <w:rFonts w:ascii="Times New Roman" w:cs="Times New Roman" w:eastAsia="Times New Roman" w:hAnsi="Times New Roman"/>
          <w:sz w:val="18"/>
          <w:szCs w:val="18"/>
          <w:color w:val="auto"/>
        </w:rPr>
        <w:t>For equipment and store construction-related materials sales, the Group’s performance obligation is to transfer equipment at a fixed consideration with standard warranty provision and store construction-related materials to retail partners. The standard warranty is not a distinct performance obligation as it is intended to provide by the Group’s suppliers to the partners an assurance that the equipment complies with agreed-upon functionality described in the contract. Revenue from sales of equipment which needs installation and testing for the intended use is recognized at point in time when equipment is installed and tested to be ready to use. Revenue from sales of store construction-related materials is recognized at point in time upon receipt. Revenue from equipment and store construction-related materials sales to partnership stores were RMB178.8 million, RMB278.1 million and RMB877.2 million (US$123.5 million) for the years ended December 31, 2021, 2022 and 2023, respectively, and warrant liability was immaterial.</w:t>
      </w:r>
    </w:p>
    <w:p>
      <w:pPr>
        <w:spacing w:after="0" w:line="190"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For profit-sharing, the Group provides the integrated store operation solution, which includes the right to use brand name of Luckin Coffee or Luckin Tea, products and brand name promotion activities, unified ordering and payment collections platform, and basic operation guidance on store management and sanitary conditions, etc., in exchange for the profit-sharing based on the gross profit of retail sales. The Group recognizes the profit-sharing revenue from partnership stores at a variable consideration calculated using a tiered percentage approach, which is based upon the partnership stores’ monthly gross profits. The Group offers a price concession to its retail partners by waiving the new stores’ profit-sharing for a period of time ranging from the first one month to three months, which is subject to the Group’s adjustment. Price concession for profit-sharing is accounted for as a reduction of the transaction price and deducts the revenue directly. Revenue from partnership stores’ profit-sharing were RMB144.8 million, RMB427.9 million and RMB680.2 million (US$95.8 million) for the years ended December 31, 2021, 2022 and 2023, respectively.</w:t>
      </w:r>
    </w:p>
    <w:p>
      <w:pPr>
        <w:spacing w:after="0" w:line="187" w:lineRule="exact"/>
        <w:rPr>
          <w:sz w:val="20"/>
          <w:szCs w:val="20"/>
          <w:color w:val="auto"/>
        </w:rPr>
      </w:pPr>
    </w:p>
    <w:p>
      <w:pPr>
        <w:ind w:left="320" w:right="120"/>
        <w:spacing w:after="0" w:line="255" w:lineRule="auto"/>
        <w:rPr>
          <w:sz w:val="20"/>
          <w:szCs w:val="20"/>
          <w:color w:val="auto"/>
        </w:rPr>
      </w:pPr>
      <w:r>
        <w:rPr>
          <w:rFonts w:ascii="Times New Roman" w:cs="Times New Roman" w:eastAsia="Times New Roman" w:hAnsi="Times New Roman"/>
          <w:sz w:val="18"/>
          <w:szCs w:val="18"/>
          <w:color w:val="auto"/>
        </w:rPr>
        <w:t>The Group also provides other services including pre-opening services such as design of store decoration and provision of decoration materials and delivery service, which have distinct value to partnership stores and are recognized upon completion of the respective performance obligations. Other revenues from partnership stores were RMB147.8 million, RMB352.1 million and RMB510.8 million (US$71.9 million) for the years ended December 31, 2021, 2022 and 2023,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(CONTINUED)</w:t>
      </w:r>
    </w:p>
    <w:p>
      <w:pPr>
        <w:spacing w:after="0" w:line="215" w:lineRule="exact"/>
        <w:rPr>
          <w:sz w:val="20"/>
          <w:szCs w:val="20"/>
          <w:color w:val="auto"/>
        </w:rPr>
      </w:pPr>
    </w:p>
    <w:p>
      <w:pPr>
        <w:ind w:left="320" w:right="6840" w:firstLine="5"/>
        <w:spacing w:after="0" w:line="493" w:lineRule="auto"/>
        <w:tabs>
          <w:tab w:leader="none" w:pos="683"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(continued) Contract balance</w:t>
      </w:r>
    </w:p>
    <w:p>
      <w:pPr>
        <w:spacing w:after="0" w:line="2"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When either party to a revenue contract has performed, the Group presents the contract in the consolidated balance sheet as a contract asset or a contract liability, depending on the relationship between the Group’s performance and the customer’s payment. The Group presents any unconditional rights to consideration separately as a receivable. The Group does not have material contract asset. The balance of accounts receivable, net of RMB0.2 million and RMB nil million (US$ nil) allowance for doubtful accounts, were RMB58.8 million and RMB80.7 million (US$11.4 million) as of December 31, 2022 and 2023, respectively.</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Contract liability is mainly related to prepaid coupons to be provided to customers. Customers pay in advance for prepaid coupon. All</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prepaid coupons are stored in the “Coffee Wallet” of the customers’ registered accounts for future use with a three-year validity period.</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received from the sales of prepaid coupons are recognized as deferred revenues which are contract liabilities under ASC 606 and</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recognized as revenue when the customer redeems the coupons. However, a portion of the contract liability recognized as revenue may</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relate to coupons that the Company expects to expire, which is considered as a breakage amount. When the Company determines that it</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expects to be entitled to breakage, the estimated breakage is recognized as revenue in proportion to the pattern of rights exercised by</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customer. As of December 31, 2022 and 2023, the balance of deferred revenues was RMB97.4 million and RMB123.4 million</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(US$17.4 million), respectively. Majority of the balance of deferred revenue as of December 31, 2022 was recognized as revenue in the</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year of 2023.</w:t>
      </w:r>
    </w:p>
    <w:p>
      <w:pPr>
        <w:spacing w:after="0" w:line="194"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8"/>
          <w:szCs w:val="18"/>
          <w:b w:val="1"/>
          <w:bCs w:val="1"/>
          <w:i w:val="1"/>
          <w:iCs w:val="1"/>
          <w:color w:val="auto"/>
        </w:rPr>
        <w:t>(s)</w:t>
      </w:r>
      <w:r>
        <w:rPr>
          <w:sz w:val="20"/>
          <w:szCs w:val="20"/>
          <w:color w:val="auto"/>
        </w:rPr>
        <w:tab/>
      </w:r>
      <w:r>
        <w:rPr>
          <w:rFonts w:ascii="Times New Roman" w:cs="Times New Roman" w:eastAsia="Times New Roman" w:hAnsi="Times New Roman"/>
          <w:sz w:val="17"/>
          <w:szCs w:val="17"/>
          <w:b w:val="1"/>
          <w:bCs w:val="1"/>
          <w:i w:val="1"/>
          <w:iCs w:val="1"/>
          <w:color w:val="auto"/>
        </w:rPr>
        <w:t>Costs of materials, store rental and other operating costs</w:t>
      </w:r>
    </w:p>
    <w:p>
      <w:pPr>
        <w:spacing w:after="0" w:line="221" w:lineRule="exact"/>
        <w:rPr>
          <w:sz w:val="20"/>
          <w:szCs w:val="20"/>
          <w:color w:val="auto"/>
        </w:rPr>
      </w:pPr>
    </w:p>
    <w:p>
      <w:pPr>
        <w:jc w:val="both"/>
        <w:ind w:left="320" w:right="140"/>
        <w:spacing w:after="0" w:line="259" w:lineRule="auto"/>
        <w:rPr>
          <w:sz w:val="20"/>
          <w:szCs w:val="20"/>
          <w:color w:val="auto"/>
        </w:rPr>
      </w:pPr>
      <w:r>
        <w:rPr>
          <w:rFonts w:ascii="Times New Roman" w:cs="Times New Roman" w:eastAsia="Times New Roman" w:hAnsi="Times New Roman"/>
          <w:sz w:val="18"/>
          <w:szCs w:val="18"/>
          <w:color w:val="auto"/>
        </w:rPr>
        <w:t>Costs of materials consisted primarily of cost for coffee beans and coffee condiments, pre-made food and beverage items, packaging, supplies and warehouse. Store rental and other operating costs consisted primarily of rental expense of stores, staff costs, and utilities, etc.</w:t>
      </w:r>
    </w:p>
    <w:p>
      <w:pPr>
        <w:spacing w:after="0" w:line="174"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Delivery expenses</w:t>
      </w:r>
    </w:p>
    <w:p>
      <w:pPr>
        <w:spacing w:after="0" w:line="221" w:lineRule="exact"/>
        <w:rPr>
          <w:sz w:val="20"/>
          <w:szCs w:val="20"/>
          <w:color w:val="auto"/>
        </w:rPr>
      </w:pPr>
    </w:p>
    <w:p>
      <w:pPr>
        <w:ind w:left="320" w:right="120"/>
        <w:spacing w:after="0" w:line="255" w:lineRule="auto"/>
        <w:rPr>
          <w:sz w:val="20"/>
          <w:szCs w:val="20"/>
          <w:color w:val="auto"/>
        </w:rPr>
      </w:pPr>
      <w:r>
        <w:rPr>
          <w:rFonts w:ascii="Times New Roman" w:cs="Times New Roman" w:eastAsia="Times New Roman" w:hAnsi="Times New Roman"/>
          <w:sz w:val="18"/>
          <w:szCs w:val="18"/>
          <w:color w:val="auto"/>
        </w:rPr>
        <w:t>Delivery expenses are the delivery service fee for delivery orders. The Group incurred delivery expenses of RMB819.5 million, RMB1,373.2 million and RMB2,010.7 million (US$283.2 million) for the years ended December 31, 2021, 2022 and 2023, respectively. Delivery expenses are separated out of sales and marketing expenses from the fiscal year 2021 to optimize the disclosure and better reflect the nature of expenses. This reclassification is retrospectively applied.</w:t>
      </w:r>
    </w:p>
    <w:p>
      <w:pPr>
        <w:spacing w:after="0" w:line="176"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(u)</w:t>
      </w:r>
      <w:r>
        <w:rPr>
          <w:sz w:val="20"/>
          <w:szCs w:val="20"/>
          <w:color w:val="auto"/>
        </w:rPr>
        <w:tab/>
      </w:r>
      <w:r>
        <w:rPr>
          <w:rFonts w:ascii="Times New Roman" w:cs="Times New Roman" w:eastAsia="Times New Roman" w:hAnsi="Times New Roman"/>
          <w:sz w:val="17"/>
          <w:szCs w:val="17"/>
          <w:b w:val="1"/>
          <w:bCs w:val="1"/>
          <w:i w:val="1"/>
          <w:iCs w:val="1"/>
          <w:color w:val="auto"/>
        </w:rPr>
        <w:t>Sales and marketing expenses</w:t>
      </w:r>
    </w:p>
    <w:p>
      <w:pPr>
        <w:spacing w:after="0" w:line="221" w:lineRule="exact"/>
        <w:rPr>
          <w:sz w:val="20"/>
          <w:szCs w:val="20"/>
          <w:color w:val="auto"/>
        </w:rPr>
      </w:pPr>
    </w:p>
    <w:p>
      <w:pPr>
        <w:ind w:left="320" w:right="220"/>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consisted primarily of advertising expenditure, commission fees for third-party delivery platforms and subcontract service fee.</w:t>
      </w:r>
    </w:p>
    <w:p>
      <w:pPr>
        <w:spacing w:after="0" w:line="163" w:lineRule="exact"/>
        <w:rPr>
          <w:sz w:val="20"/>
          <w:szCs w:val="20"/>
          <w:color w:val="auto"/>
        </w:rPr>
      </w:pPr>
    </w:p>
    <w:p>
      <w:pPr>
        <w:ind w:left="320" w:right="140"/>
        <w:spacing w:after="0" w:line="259" w:lineRule="auto"/>
        <w:rPr>
          <w:sz w:val="20"/>
          <w:szCs w:val="20"/>
          <w:color w:val="auto"/>
        </w:rPr>
      </w:pPr>
      <w:r>
        <w:rPr>
          <w:rFonts w:ascii="Times New Roman" w:cs="Times New Roman" w:eastAsia="Times New Roman" w:hAnsi="Times New Roman"/>
          <w:sz w:val="18"/>
          <w:szCs w:val="18"/>
          <w:color w:val="auto"/>
        </w:rPr>
        <w:t>Advertising expenditures are expensed when incurred and are included in sales and marketing expenses, which amounted to RMB243.7 million, RMB338.0 million and RMB801.1 million (US$112.8 million) for the years ended December 31, 2021, 2022 and 2023, respectively.</w:t>
      </w:r>
    </w:p>
    <w:p>
      <w:pPr>
        <w:spacing w:after="0" w:line="174"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(v)</w:t>
      </w:r>
      <w:r>
        <w:rPr>
          <w:sz w:val="20"/>
          <w:szCs w:val="20"/>
          <w:color w:val="auto"/>
        </w:rPr>
        <w:tab/>
      </w:r>
      <w:r>
        <w:rPr>
          <w:rFonts w:ascii="Times New Roman" w:cs="Times New Roman" w:eastAsia="Times New Roman" w:hAnsi="Times New Roman"/>
          <w:sz w:val="17"/>
          <w:szCs w:val="17"/>
          <w:b w:val="1"/>
          <w:bCs w:val="1"/>
          <w:i w:val="1"/>
          <w:iCs w:val="1"/>
          <w:color w:val="auto"/>
        </w:rPr>
        <w:t>General and administrative expenses</w:t>
      </w:r>
    </w:p>
    <w:p>
      <w:pPr>
        <w:spacing w:after="0" w:line="221" w:lineRule="exact"/>
        <w:rPr>
          <w:sz w:val="20"/>
          <w:szCs w:val="20"/>
          <w:color w:val="auto"/>
        </w:rPr>
      </w:pPr>
    </w:p>
    <w:p>
      <w:pPr>
        <w:ind w:left="320" w:right="200"/>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expenses for employees involved in general corporate functions, research and development expenses, share-based compensation, professional fees and daily office expenses and rental fees for general corporate functions.</w:t>
      </w:r>
    </w:p>
    <w:p>
      <w:pPr>
        <w:spacing w:after="0" w:line="178"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are included in general and administrative expenses, which are mainly payroll expenses, employee benefits, and other headcount-related expenses associated with platform development and data analysis to support the Group’s business operations. The Group charged RMB251.7 million, RMB301.4 million and RMB338.8 million (US$47.7 million) of research and development costs to expense for the years ended December 31, 2021, 2022 and 2023, respectively.</w:t>
      </w:r>
    </w:p>
    <w:p>
      <w:pPr>
        <w:sectPr>
          <w:pgSz w:w="11900" w:h="16838" w:orient="portrait"/>
          <w:cols w:equalWidth="0" w:num="1">
            <w:col w:w="9920"/>
          </w:cols>
          <w:pgMar w:left="980" w:top="50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29348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740" w:hanging="415"/>
        <w:spacing w:after="0"/>
        <w:tabs>
          <w:tab w:leader="none" w:pos="740" w:val="left"/>
        </w:tabs>
        <w:numPr>
          <w:ilvl w:val="1"/>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Store preopening and other expenses</w:t>
      </w:r>
    </w:p>
    <w:p>
      <w:pPr>
        <w:spacing w:after="0" w:line="221" w:lineRule="exact"/>
        <w:rPr>
          <w:sz w:val="20"/>
          <w:szCs w:val="20"/>
          <w:color w:val="auto"/>
        </w:rPr>
      </w:pPr>
    </w:p>
    <w:p>
      <w:pPr>
        <w:ind w:left="320" w:right="40"/>
        <w:spacing w:after="0" w:line="259" w:lineRule="auto"/>
        <w:rPr>
          <w:sz w:val="20"/>
          <w:szCs w:val="20"/>
          <w:color w:val="auto"/>
        </w:rPr>
      </w:pPr>
      <w:r>
        <w:rPr>
          <w:rFonts w:ascii="Times New Roman" w:cs="Times New Roman" w:eastAsia="Times New Roman" w:hAnsi="Times New Roman"/>
          <w:sz w:val="18"/>
          <w:szCs w:val="18"/>
          <w:color w:val="auto"/>
        </w:rPr>
        <w:t>Store preopening expenses mainly include store rental costs during the start-up of new stores. Other expenses include lease exit costs, such as the write offs of prepaid store rental costs, deposits and leasehold improvements. Costs incurred in connection with the start-up and closure of stores are expensed as incurred.</w:t>
      </w:r>
    </w:p>
    <w:p>
      <w:pPr>
        <w:spacing w:after="0" w:line="174"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(x)</w:t>
        <w:tab/>
        <w:t>Leases</w:t>
      </w:r>
    </w:p>
    <w:p>
      <w:pPr>
        <w:spacing w:after="0" w:line="221" w:lineRule="exact"/>
        <w:rPr>
          <w:sz w:val="20"/>
          <w:szCs w:val="20"/>
          <w:color w:val="auto"/>
        </w:rPr>
      </w:pPr>
    </w:p>
    <w:p>
      <w:pPr>
        <w:ind w:left="320" w:right="20"/>
        <w:spacing w:after="0" w:line="274" w:lineRule="auto"/>
        <w:rPr>
          <w:sz w:val="20"/>
          <w:szCs w:val="20"/>
          <w:color w:val="auto"/>
        </w:rPr>
      </w:pPr>
      <w:r>
        <w:rPr>
          <w:rFonts w:ascii="Times New Roman" w:cs="Times New Roman" w:eastAsia="Times New Roman" w:hAnsi="Times New Roman"/>
          <w:sz w:val="18"/>
          <w:szCs w:val="18"/>
          <w:color w:val="auto"/>
        </w:rPr>
        <w:t>The Group enters into lease agreements to have leasing for self-operated stores, office spaces, and other corporate assets that the Group utilizes.</w:t>
      </w:r>
    </w:p>
    <w:p>
      <w:pPr>
        <w:spacing w:after="0" w:line="163" w:lineRule="exact"/>
        <w:rPr>
          <w:sz w:val="20"/>
          <w:szCs w:val="20"/>
          <w:color w:val="auto"/>
        </w:rPr>
      </w:pPr>
    </w:p>
    <w:p>
      <w:pPr>
        <w:ind w:left="320" w:right="420"/>
        <w:spacing w:after="0" w:line="274" w:lineRule="auto"/>
        <w:rPr>
          <w:sz w:val="20"/>
          <w:szCs w:val="20"/>
          <w:color w:val="auto"/>
        </w:rPr>
      </w:pPr>
      <w:r>
        <w:rPr>
          <w:rFonts w:ascii="Times New Roman" w:cs="Times New Roman" w:eastAsia="Times New Roman" w:hAnsi="Times New Roman"/>
          <w:sz w:val="18"/>
          <w:szCs w:val="18"/>
          <w:color w:val="auto"/>
        </w:rPr>
        <w:t>The Group categorizes leases with contractual terms longer than twelve months as either operating or finance lease. However, the Group did not enter into finance leases for any of the periods presented.</w:t>
      </w:r>
    </w:p>
    <w:p>
      <w:pPr>
        <w:spacing w:after="0" w:line="163" w:lineRule="exact"/>
        <w:rPr>
          <w:sz w:val="20"/>
          <w:szCs w:val="20"/>
          <w:color w:val="auto"/>
        </w:rPr>
      </w:pPr>
    </w:p>
    <w:p>
      <w:pPr>
        <w:ind w:left="320" w:right="140"/>
        <w:spacing w:after="0" w:line="251"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 whether the contract involves the use of an identified asset, whether it has the right to obtain substantially all the economic benefits from the use of the asset and whether it has the right to control the use of the asset. The rent under the majority of the current self-operated store lease agreements is generally payable in one of three ways: (i) fixed rent; (ii) the higher of a fixed base rent or a percentage of the store’s sales; or (iii) a percentage of the store’s sales.</w:t>
      </w:r>
    </w:p>
    <w:p>
      <w:pPr>
        <w:spacing w:after="0" w:line="185" w:lineRule="exact"/>
        <w:rPr>
          <w:sz w:val="20"/>
          <w:szCs w:val="20"/>
          <w:color w:val="auto"/>
        </w:rPr>
      </w:pPr>
    </w:p>
    <w:p>
      <w:pPr>
        <w:jc w:val="both"/>
        <w:ind w:left="320" w:right="180"/>
        <w:spacing w:after="0" w:line="259" w:lineRule="auto"/>
        <w:rPr>
          <w:sz w:val="20"/>
          <w:szCs w:val="20"/>
          <w:color w:val="auto"/>
        </w:rPr>
      </w:pPr>
      <w:r>
        <w:rPr>
          <w:rFonts w:ascii="Times New Roman" w:cs="Times New Roman" w:eastAsia="Times New Roman" w:hAnsi="Times New Roman"/>
          <w:sz w:val="18"/>
          <w:szCs w:val="18"/>
          <w:color w:val="auto"/>
        </w:rPr>
        <w:t>Right-of-use (“ROU”) assets represent the Group’s rights to use underlying assets for the lease term and lease liabilities represent the Group’s obligation to make lease payments arising from the lease. Operating lease ROU assets and lease liabilities are recognized at commencement date. Lease expense for lease payments is recognized on a straight-line basis over the lease term.</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lease ROU assets</w:t>
      </w:r>
    </w:p>
    <w:p>
      <w:pPr>
        <w:spacing w:after="0" w:line="219" w:lineRule="exact"/>
        <w:rPr>
          <w:sz w:val="20"/>
          <w:szCs w:val="20"/>
          <w:color w:val="auto"/>
        </w:rPr>
      </w:pPr>
    </w:p>
    <w:p>
      <w:pPr>
        <w:jc w:val="both"/>
        <w:ind w:left="320" w:right="200"/>
        <w:spacing w:after="0" w:line="304" w:lineRule="auto"/>
        <w:rPr>
          <w:sz w:val="20"/>
          <w:szCs w:val="20"/>
          <w:color w:val="auto"/>
        </w:rPr>
      </w:pPr>
      <w:r>
        <w:rPr>
          <w:rFonts w:ascii="Times New Roman" w:cs="Times New Roman" w:eastAsia="Times New Roman" w:hAnsi="Times New Roman"/>
          <w:sz w:val="17"/>
          <w:szCs w:val="17"/>
          <w:color w:val="auto"/>
        </w:rPr>
        <w:t>The right-of-use assets are initially measured at cost, which comprise the initial amounts of the lease liabilities adjusted for any lease payments made at or before the commencement date, plus any initial direct costs incurred and less any lease incentive received.</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lease liabilities</w:t>
      </w:r>
    </w:p>
    <w:p>
      <w:pPr>
        <w:spacing w:after="0" w:line="219"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Lease liabilities are initially measured at the present value of the outstanding lease payments at the commencement date, discounted using the discount rate for the leases. As most of the Group’s leases do not provide an implicit rate, the Group uses its incremental borrowing rate based on the information available at lease commencement date in determining the present value of lease payments. Lease payments included in the measurement of the lease liabilities comprise fixed lease payments, variable lease payments that depend on an index or a rate and any exercise price under a purchase option that the Group is reasonably certain to exercise. The Group generally has no renewal options and material residual value guarantees or material restrictive covenants for its leases.</w:t>
      </w:r>
    </w:p>
    <w:p>
      <w:pPr>
        <w:spacing w:after="0" w:line="185" w:lineRule="exact"/>
        <w:rPr>
          <w:sz w:val="20"/>
          <w:szCs w:val="20"/>
          <w:color w:val="auto"/>
        </w:rPr>
      </w:pPr>
    </w:p>
    <w:p>
      <w:pPr>
        <w:jc w:val="both"/>
        <w:ind w:left="320" w:right="120"/>
        <w:spacing w:after="0" w:line="259" w:lineRule="auto"/>
        <w:rPr>
          <w:sz w:val="20"/>
          <w:szCs w:val="20"/>
          <w:color w:val="auto"/>
        </w:rPr>
      </w:pPr>
      <w:r>
        <w:rPr>
          <w:rFonts w:ascii="Times New Roman" w:cs="Times New Roman" w:eastAsia="Times New Roman" w:hAnsi="Times New Roman"/>
          <w:sz w:val="18"/>
          <w:szCs w:val="18"/>
          <w:color w:val="auto"/>
        </w:rPr>
        <w:t>Lease liabilities are measured at amortized cost using the effective interest rate method. They are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700" w:hanging="375"/>
        <w:spacing w:after="0"/>
        <w:tabs>
          <w:tab w:leader="none" w:pos="700" w:val="left"/>
        </w:tabs>
        <w:numPr>
          <w:ilvl w:val="1"/>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Asset retirement obligations</w:t>
      </w:r>
    </w:p>
    <w:p>
      <w:pPr>
        <w:spacing w:after="0" w:line="219"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Group recognizes an asset and a liability for the fair value of required asset retirement obligations (“ARO”) when such obligations are incurred. The Group’s AROs are primarily associated with leasehold improvements, which, at the end of a lease, it is contractually obligated to remove in order to comply with the lease agreement. At the inception of a lease with such conditions, the Group records an ARO liability and a corresponding capital asset in an amount equal to the estimated fair value of the obligation. As such, the Group amortizes the asset on a straight-line basis over the lease term and accretes the liability to its nominal value using the effective interest method over the lease term. Upon satisfaction of the ARO conditions, any difference between the recorded ARO liability and the actual retirement costs incurred is recognized as a gain or loss in store rental and other operating expenses on its consolidated statements of operations and comprehensive income.</w:t>
      </w:r>
    </w:p>
    <w:p>
      <w:pPr>
        <w:spacing w:after="0" w:line="190" w:lineRule="exact"/>
        <w:rPr>
          <w:sz w:val="20"/>
          <w:szCs w:val="20"/>
          <w:color w:val="auto"/>
        </w:rPr>
      </w:pPr>
    </w:p>
    <w:p>
      <w:pPr>
        <w:ind w:left="320"/>
        <w:spacing w:after="0" w:line="282" w:lineRule="auto"/>
        <w:rPr>
          <w:sz w:val="20"/>
          <w:szCs w:val="20"/>
          <w:color w:val="auto"/>
        </w:rPr>
      </w:pPr>
      <w:r>
        <w:rPr>
          <w:rFonts w:ascii="Times New Roman" w:cs="Times New Roman" w:eastAsia="Times New Roman" w:hAnsi="Times New Roman"/>
          <w:sz w:val="17"/>
          <w:szCs w:val="17"/>
          <w:color w:val="auto"/>
        </w:rPr>
        <w:t>The Group leases offices to third parties. The arrangements are in nature of operating leases, therefore, the assets subject to operating lease are measured at their carrying value under property, plant and equipment on the Group’s consolidated balance sheets and continue to depreciate based on the estimated useful life. Rental income is recognized over the lease term on a straight-line basis.</w:t>
      </w:r>
    </w:p>
    <w:p>
      <w:pPr>
        <w:spacing w:after="0" w:line="155"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(y)</w:t>
      </w:r>
      <w:r>
        <w:rPr>
          <w:sz w:val="20"/>
          <w:szCs w:val="20"/>
          <w:color w:val="auto"/>
        </w:rPr>
        <w:tab/>
      </w:r>
      <w:r>
        <w:rPr>
          <w:rFonts w:ascii="Times New Roman" w:cs="Times New Roman" w:eastAsia="Times New Roman" w:hAnsi="Times New Roman"/>
          <w:sz w:val="17"/>
          <w:szCs w:val="17"/>
          <w:b w:val="1"/>
          <w:bCs w:val="1"/>
          <w:i w:val="1"/>
          <w:iCs w:val="1"/>
          <w:color w:val="auto"/>
        </w:rPr>
        <w:t>Government subsidies</w:t>
      </w:r>
    </w:p>
    <w:p>
      <w:pPr>
        <w:spacing w:after="0" w:line="221" w:lineRule="exact"/>
        <w:rPr>
          <w:sz w:val="20"/>
          <w:szCs w:val="20"/>
          <w:color w:val="auto"/>
        </w:rPr>
      </w:pPr>
    </w:p>
    <w:p>
      <w:pPr>
        <w:ind w:left="320"/>
        <w:spacing w:after="0" w:line="248" w:lineRule="auto"/>
        <w:rPr>
          <w:sz w:val="20"/>
          <w:szCs w:val="20"/>
          <w:color w:val="auto"/>
        </w:rPr>
      </w:pPr>
      <w:r>
        <w:rPr>
          <w:rFonts w:ascii="Times New Roman" w:cs="Times New Roman" w:eastAsia="Times New Roman" w:hAnsi="Times New Roman"/>
          <w:sz w:val="18"/>
          <w:szCs w:val="18"/>
          <w:color w:val="auto"/>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with no further conditions to be met are recognized as income in “Other income/(expenses), net” or as a reduction of specific operating costs and expenses for which the grants are intended to compensate. If the government subsidies are related to an asset, it is recognized as a deduction of the carrying amount of the asset when it is probable that the conditions are met and then recognized ratably over the expected useful life of the related asset as a reduction to the related amortization or depreciation in the consolidated statements of operations and comprehensive income. Government subsidies of RMB47.1 million, RMB78.0 million and RMB71.2 million (US$10.0 million) were recorded in “Other income/(expenses), net” for the years ended December 31, 2021, 2022 and 2023.</w:t>
      </w:r>
    </w:p>
    <w:p>
      <w:pPr>
        <w:spacing w:after="0" w:line="189"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8"/>
          <w:szCs w:val="18"/>
          <w:b w:val="1"/>
          <w:bCs w:val="1"/>
          <w:i w:val="1"/>
          <w:iCs w:val="1"/>
          <w:color w:val="auto"/>
        </w:rPr>
        <w:t>(z)</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19" w:lineRule="exact"/>
        <w:rPr>
          <w:sz w:val="20"/>
          <w:szCs w:val="20"/>
          <w:color w:val="auto"/>
        </w:rPr>
      </w:pPr>
    </w:p>
    <w:p>
      <w:pPr>
        <w:ind w:left="320" w:right="40"/>
        <w:spacing w:after="0" w:line="251" w:lineRule="auto"/>
        <w:rPr>
          <w:sz w:val="20"/>
          <w:szCs w:val="20"/>
          <w:color w:val="auto"/>
        </w:rPr>
      </w:pPr>
      <w:r>
        <w:rPr>
          <w:rFonts w:ascii="Times New Roman" w:cs="Times New Roman" w:eastAsia="Times New Roman" w:hAnsi="Times New Roman"/>
          <w:sz w:val="18"/>
          <w:szCs w:val="18"/>
          <w:color w:val="auto"/>
        </w:rPr>
        <w:t xml:space="preserve">The Group follows the liability method of accounting for income taxes in accordance with ASC 740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87" w:lineRule="exact"/>
        <w:rPr>
          <w:sz w:val="20"/>
          <w:szCs w:val="20"/>
          <w:color w:val="auto"/>
        </w:rPr>
      </w:pPr>
    </w:p>
    <w:p>
      <w:pPr>
        <w:jc w:val="both"/>
        <w:ind w:left="320" w:right="60"/>
        <w:spacing w:after="0" w:line="252" w:lineRule="auto"/>
        <w:rPr>
          <w:sz w:val="20"/>
          <w:szCs w:val="20"/>
          <w:color w:val="auto"/>
        </w:rPr>
      </w:pPr>
      <w:r>
        <w:rPr>
          <w:rFonts w:ascii="Times New Roman" w:cs="Times New Roman" w:eastAsia="Times New Roman" w:hAnsi="Times New Roman"/>
          <w:sz w:val="18"/>
          <w:szCs w:val="18"/>
          <w:color w:val="auto"/>
        </w:rPr>
        <w:t>The Group accounts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2021, 2022 and 2023 were RMB nil, RMB4.5million and RMB7.6 million (US$1.1 million), respectively, which represent the Group’s best estimate, in accordance with current PRC tax laws and regulations.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15" w:lineRule="exact"/>
        <w:rPr>
          <w:rFonts w:ascii="Times New Roman" w:cs="Times New Roman" w:eastAsia="Times New Roman" w:hAnsi="Times New Roman"/>
          <w:sz w:val="18"/>
          <w:szCs w:val="18"/>
          <w:b w:val="1"/>
          <w:bCs w:val="1"/>
          <w:color w:val="auto"/>
        </w:rPr>
      </w:pPr>
    </w:p>
    <w:p>
      <w:pPr>
        <w:ind w:left="800" w:hanging="475"/>
        <w:spacing w:after="0"/>
        <w:tabs>
          <w:tab w:leader="none" w:pos="800" w:val="left"/>
        </w:tabs>
        <w:numPr>
          <w:ilvl w:val="1"/>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expenses</w:t>
      </w:r>
    </w:p>
    <w:p>
      <w:pPr>
        <w:spacing w:after="0" w:line="221"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As stipulated by the regulations of the PRC, full-time employees of the Group are entitled to various government statutory employee benefit plans, including medical insurance, maternity insurance, workplace injury insurance, unemployment insurance, pension benefits and housing provident fund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RMB247.3 million, RMB333.5 million and RMB530.3 million (US$74.7 million) for the years ended December 31, 2021, 2022 and 2023, respectively.</w:t>
      </w:r>
    </w:p>
    <w:p>
      <w:pPr>
        <w:spacing w:after="0" w:line="181"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(bb)</w:t>
      </w:r>
      <w:r>
        <w:rPr>
          <w:sz w:val="20"/>
          <w:szCs w:val="20"/>
          <w:color w:val="auto"/>
        </w:rPr>
        <w:tab/>
      </w:r>
      <w:r>
        <w:rPr>
          <w:rFonts w:ascii="Times New Roman" w:cs="Times New Roman" w:eastAsia="Times New Roman" w:hAnsi="Times New Roman"/>
          <w:sz w:val="17"/>
          <w:szCs w:val="17"/>
          <w:b w:val="1"/>
          <w:bCs w:val="1"/>
          <w:i w:val="1"/>
          <w:iCs w:val="1"/>
          <w:color w:val="auto"/>
        </w:rPr>
        <w:t>Comprehensive income</w:t>
      </w:r>
    </w:p>
    <w:p>
      <w:pPr>
        <w:spacing w:after="0" w:line="221" w:lineRule="exact"/>
        <w:rPr>
          <w:sz w:val="20"/>
          <w:szCs w:val="20"/>
          <w:color w:val="auto"/>
        </w:rPr>
      </w:pPr>
    </w:p>
    <w:p>
      <w:pPr>
        <w:ind w:left="320" w:right="160"/>
        <w:spacing w:after="0" w:line="269" w:lineRule="auto"/>
        <w:rPr>
          <w:sz w:val="20"/>
          <w:szCs w:val="20"/>
          <w:color w:val="auto"/>
        </w:rPr>
      </w:pPr>
      <w:r>
        <w:rPr>
          <w:rFonts w:ascii="Times New Roman" w:cs="Times New Roman" w:eastAsia="Times New Roman" w:hAnsi="Times New Roman"/>
          <w:sz w:val="17"/>
          <w:szCs w:val="17"/>
          <w:color w:val="auto"/>
        </w:rPr>
        <w:t xml:space="preserve">Comprehensive income is defined as the change in equity of the Group during a period from transactions and other events and circumstances excluding transactions resulting from investments by owners and distributions to owners. Amongst other disclosures, ASC 220, </w:t>
      </w:r>
      <w:r>
        <w:rPr>
          <w:rFonts w:ascii="Times New Roman" w:cs="Times New Roman" w:eastAsia="Times New Roman" w:hAnsi="Times New Roman"/>
          <w:sz w:val="17"/>
          <w:szCs w:val="17"/>
          <w:i w:val="1"/>
          <w:iCs w:val="1"/>
          <w:color w:val="auto"/>
        </w:rPr>
        <w:t>Comprehensive Income</w:t>
      </w:r>
      <w:r>
        <w:rPr>
          <w:rFonts w:ascii="Times New Roman" w:cs="Times New Roman" w:eastAsia="Times New Roman" w:hAnsi="Times New Roman"/>
          <w:sz w:val="17"/>
          <w:szCs w:val="17"/>
          <w:color w:val="auto"/>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income included net income and foreign currency translation adjustments that are presented in the consolidated statements of operations and comprehensive income.</w:t>
      </w:r>
    </w:p>
    <w:p>
      <w:pPr>
        <w:spacing w:after="0" w:line="165"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b w:val="1"/>
          <w:bCs w:val="1"/>
          <w:i w:val="1"/>
          <w:iCs w:val="1"/>
          <w:color w:val="auto"/>
        </w:rPr>
        <w:t>(cc)</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40" w:lineRule="exact"/>
        <w:rPr>
          <w:sz w:val="20"/>
          <w:szCs w:val="20"/>
          <w:color w:val="auto"/>
        </w:rPr>
      </w:pPr>
    </w:p>
    <w:p>
      <w:pPr>
        <w:ind w:left="320" w:right="80"/>
        <w:spacing w:after="0" w:line="253" w:lineRule="auto"/>
        <w:rPr>
          <w:sz w:val="20"/>
          <w:szCs w:val="20"/>
          <w:color w:val="auto"/>
        </w:rPr>
      </w:pPr>
      <w:r>
        <w:rPr>
          <w:rFonts w:ascii="Times New Roman" w:cs="Times New Roman" w:eastAsia="Times New Roman" w:hAnsi="Times New Roman"/>
          <w:sz w:val="18"/>
          <w:szCs w:val="18"/>
          <w:color w:val="auto"/>
        </w:rPr>
        <w:t xml:space="preserve">The Group follows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Certain members of the Group’s management team, acting as the chief operating decision-maker, review the consolidated financial results when making decisions about allocating resources and assessing the performance of the Group as a whole and hence, the Group has only one reportable segment. The Group operates and manages its business as a single segment. As the Group’s long-lived assets are substantially all located in the PRC and substantially all the Group’s revenues are derived from within the PRC, no geographical segments are presented.</w:t>
      </w:r>
    </w:p>
    <w:p>
      <w:pPr>
        <w:spacing w:after="0" w:line="113"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(dd)</w:t>
      </w:r>
      <w:r>
        <w:rPr>
          <w:sz w:val="20"/>
          <w:szCs w:val="20"/>
          <w:color w:val="auto"/>
        </w:rPr>
        <w:tab/>
      </w:r>
      <w:r>
        <w:rPr>
          <w:rFonts w:ascii="Times New Roman" w:cs="Times New Roman" w:eastAsia="Times New Roman" w:hAnsi="Times New Roman"/>
          <w:sz w:val="17"/>
          <w:szCs w:val="17"/>
          <w:b w:val="1"/>
          <w:bCs w:val="1"/>
          <w:i w:val="1"/>
          <w:iCs w:val="1"/>
          <w:color w:val="auto"/>
        </w:rPr>
        <w:t>Net income per share</w:t>
      </w:r>
    </w:p>
    <w:p>
      <w:pPr>
        <w:spacing w:after="0" w:line="153"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basic income per share is computed by dividing net income attributable to ordinary shareholders by the weighted average number of ordinary shares and participating securities during the period. Holders of Class A ordinary shares and Class B ordinary shares have the same dividend rights. For the calculation of diluted net income per share, the weighted average number of ordinary shares is adjusted by the effect of dilutive potential ordinary shares, including unvested restricted share units (“RSUs”) and ordinary shares issuable upon the exercise of outstanding share options using the treasury stock method. The effect mentioned above is not included in the calculation of the diluted income per share when inclusion of such effect would be anti-dilutive.</w:t>
      </w:r>
    </w:p>
    <w:p>
      <w:pPr>
        <w:spacing w:after="0" w:line="105" w:lineRule="exact"/>
        <w:rPr>
          <w:sz w:val="20"/>
          <w:szCs w:val="20"/>
          <w:color w:val="auto"/>
        </w:rPr>
      </w:pPr>
    </w:p>
    <w:p>
      <w:pPr>
        <w:ind w:left="320"/>
        <w:spacing w:after="0"/>
        <w:tabs>
          <w:tab w:leader="none" w:pos="760" w:val="left"/>
        </w:tabs>
        <w:rPr>
          <w:sz w:val="20"/>
          <w:szCs w:val="20"/>
          <w:color w:val="auto"/>
        </w:rPr>
      </w:pPr>
      <w:r>
        <w:rPr>
          <w:rFonts w:ascii="Times New Roman" w:cs="Times New Roman" w:eastAsia="Times New Roman" w:hAnsi="Times New Roman"/>
          <w:sz w:val="18"/>
          <w:szCs w:val="18"/>
          <w:b w:val="1"/>
          <w:bCs w:val="1"/>
          <w:i w:val="1"/>
          <w:iCs w:val="1"/>
          <w:color w:val="auto"/>
        </w:rPr>
        <w:t>(ee)</w:t>
      </w:r>
      <w:r>
        <w:rPr>
          <w:sz w:val="20"/>
          <w:szCs w:val="20"/>
          <w:color w:val="auto"/>
        </w:rPr>
        <w:tab/>
      </w:r>
      <w:r>
        <w:rPr>
          <w:rFonts w:ascii="Times New Roman" w:cs="Times New Roman" w:eastAsia="Times New Roman" w:hAnsi="Times New Roman"/>
          <w:sz w:val="17"/>
          <w:szCs w:val="17"/>
          <w:b w:val="1"/>
          <w:bCs w:val="1"/>
          <w:i w:val="1"/>
          <w:iCs w:val="1"/>
          <w:color w:val="auto"/>
        </w:rPr>
        <w:t>Share-based compensation</w:t>
      </w:r>
    </w:p>
    <w:p>
      <w:pPr>
        <w:spacing w:after="0" w:line="153"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 xml:space="preserve">The Group applies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and directors were classified as equity awards and are recognized in the consolidated financial statements based on their grant date fair values. The Group recognizes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The Group accounts for forfeitures as they occur. The Group issues new shares of common stock upon exercise of stock options and the vesting of restricted share units.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35" w:lineRule="exact"/>
        <w:rPr>
          <w:rFonts w:ascii="Times New Roman" w:cs="Times New Roman" w:eastAsia="Times New Roman" w:hAnsi="Times New Roman"/>
          <w:sz w:val="18"/>
          <w:szCs w:val="18"/>
          <w:b w:val="1"/>
          <w:bCs w:val="1"/>
          <w:color w:val="auto"/>
        </w:rPr>
      </w:pPr>
    </w:p>
    <w:p>
      <w:pPr>
        <w:ind w:left="740" w:hanging="415"/>
        <w:spacing w:after="0"/>
        <w:tabs>
          <w:tab w:leader="none" w:pos="740" w:val="left"/>
        </w:tabs>
        <w:numPr>
          <w:ilvl w:val="1"/>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Comparative information</w:t>
      </w:r>
    </w:p>
    <w:p>
      <w:pPr>
        <w:spacing w:after="0" w:line="155" w:lineRule="exact"/>
        <w:rPr>
          <w:sz w:val="20"/>
          <w:szCs w:val="20"/>
          <w:color w:val="auto"/>
        </w:rPr>
      </w:pPr>
    </w:p>
    <w:p>
      <w:pPr>
        <w:jc w:val="both"/>
        <w:ind w:left="320" w:right="160"/>
        <w:spacing w:after="0" w:line="274" w:lineRule="auto"/>
        <w:rPr>
          <w:sz w:val="20"/>
          <w:szCs w:val="20"/>
          <w:color w:val="auto"/>
        </w:rPr>
      </w:pPr>
      <w:r>
        <w:rPr>
          <w:rFonts w:ascii="Times New Roman" w:cs="Times New Roman" w:eastAsia="Times New Roman" w:hAnsi="Times New Roman"/>
          <w:sz w:val="18"/>
          <w:szCs w:val="18"/>
          <w:color w:val="auto"/>
        </w:rPr>
        <w:t>Certain items in prior years’ consolidated financial statements or disclosures have been reclassified to conform to the current period’s presentation to facilitate comparison.</w:t>
      </w:r>
    </w:p>
    <w:p>
      <w:pPr>
        <w:spacing w:after="0" w:line="97" w:lineRule="exact"/>
        <w:rPr>
          <w:sz w:val="20"/>
          <w:szCs w:val="20"/>
          <w:color w:val="auto"/>
        </w:rPr>
      </w:pPr>
    </w:p>
    <w:p>
      <w:pPr>
        <w:jc w:val="both"/>
        <w:ind w:left="320" w:right="140"/>
        <w:spacing w:after="0" w:line="255" w:lineRule="auto"/>
        <w:rPr>
          <w:sz w:val="20"/>
          <w:szCs w:val="20"/>
          <w:color w:val="auto"/>
        </w:rPr>
      </w:pPr>
      <w:r>
        <w:rPr>
          <w:rFonts w:ascii="Times New Roman" w:cs="Times New Roman" w:eastAsia="Times New Roman" w:hAnsi="Times New Roman"/>
          <w:sz w:val="18"/>
          <w:szCs w:val="18"/>
          <w:color w:val="auto"/>
        </w:rPr>
        <w:t>Revenues from self-operated stores include net revenue from the sales of freshly brewed and non-freshly brewed items through self-operating stores, and delivery fees derived from self-operated stores paid by the Company’s customers. Before 2023, the definition of revenues from self-operated stores did not include delivery fees derived from self-operated stores paid by the Company’s customers. Comparative figures from previous periods presented were also adjusted to be consistent.</w:t>
      </w:r>
    </w:p>
    <w:p>
      <w:pPr>
        <w:spacing w:after="0" w:line="97" w:lineRule="exact"/>
        <w:rPr>
          <w:sz w:val="20"/>
          <w:szCs w:val="20"/>
          <w:color w:val="auto"/>
        </w:rPr>
      </w:pPr>
    </w:p>
    <w:p>
      <w:pPr>
        <w:ind w:left="320"/>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(gg)</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53" w:lineRule="exact"/>
        <w:rPr>
          <w:sz w:val="20"/>
          <w:szCs w:val="20"/>
          <w:color w:val="auto"/>
        </w:rPr>
      </w:pPr>
    </w:p>
    <w:p>
      <w:pPr>
        <w:ind w:left="320"/>
        <w:spacing w:after="0" w:line="264"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Improvements to Reportable Segment Disclosures</w:t>
      </w:r>
      <w:r>
        <w:rPr>
          <w:rFonts w:ascii="Times New Roman" w:cs="Times New Roman" w:eastAsia="Times New Roman" w:hAnsi="Times New Roman"/>
          <w:sz w:val="17"/>
          <w:szCs w:val="17"/>
          <w:color w:val="auto"/>
        </w:rPr>
        <w:t xml:space="preserve"> (“ASU 2023-07”), which focuses on improving reportable segment disclosure requirements, primarily through enhanced disclosures about significant segment expenses. A public entity shall disclose for each reportable segment the significant expense categories and amounts that are regularly provided to the CODM and included in reported segment profit or loss. ASU 2023-07 also requires public entities to provide in interim periods all disclosures about a reportable segment’s profit or loss and assets that are currently required annually.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ASU 2023-07 is applied retrospectively to all periods presented in financial statements, unless it is impracticable. This update will be effective for the Group’s fiscal years beginning after December 15, 2023, and interim periods within fiscal years beginning after December 15, 2024. Early adoption is permitted. The Group is currently in the process of evaluating the disclosure impact of adopting ASU 2023-07.</w:t>
      </w:r>
    </w:p>
    <w:p>
      <w:pPr>
        <w:spacing w:after="0" w:line="112"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Under this ASU, public entities must annually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This ASU’s amendments are effective for all entities that are subject to Topic 740, Income Taxes, for annual periods beginning after December 15, 2024, with early adoption permitted. We are currently evaluating the impact of this pronouncement on our disclosures.</w:t>
      </w:r>
    </w:p>
    <w:p>
      <w:pPr>
        <w:spacing w:after="0" w:line="108" w:lineRule="exact"/>
        <w:rPr>
          <w:sz w:val="20"/>
          <w:szCs w:val="20"/>
          <w:color w:val="auto"/>
        </w:rPr>
      </w:pPr>
    </w:p>
    <w:p>
      <w:pPr>
        <w:ind w:left="320" w:right="40"/>
        <w:spacing w:after="0" w:line="274" w:lineRule="auto"/>
        <w:rPr>
          <w:sz w:val="20"/>
          <w:szCs w:val="20"/>
          <w:color w:val="auto"/>
        </w:rPr>
      </w:pPr>
      <w:r>
        <w:rPr>
          <w:rFonts w:ascii="Times New Roman" w:cs="Times New Roman" w:eastAsia="Times New Roman" w:hAnsi="Times New Roman"/>
          <w:sz w:val="18"/>
          <w:szCs w:val="18"/>
          <w:color w:val="auto"/>
        </w:rPr>
        <w:t>The Company does not discuss recent pronouncements that are not anticipated to have an impact on or are unrelated to its consolidated financial condition, results of operations, cash flows or disclosures.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RISKS</w:t>
      </w:r>
    </w:p>
    <w:p>
      <w:pPr>
        <w:spacing w:after="0" w:line="215" w:lineRule="exact"/>
        <w:rPr>
          <w:rFonts w:ascii="Times New Roman" w:cs="Times New Roman" w:eastAsia="Times New Roman" w:hAnsi="Times New Roman"/>
          <w:sz w:val="18"/>
          <w:szCs w:val="18"/>
          <w:b w:val="1"/>
          <w:bCs w:val="1"/>
          <w:color w:val="auto"/>
        </w:rPr>
      </w:pPr>
    </w:p>
    <w:p>
      <w:pPr>
        <w:ind w:left="660" w:hanging="335"/>
        <w:spacing w:after="0"/>
        <w:tabs>
          <w:tab w:leader="none" w:pos="660" w:val="left"/>
        </w:tabs>
        <w:numPr>
          <w:ilvl w:val="1"/>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risk</w:t>
      </w:r>
    </w:p>
    <w:p>
      <w:pPr>
        <w:spacing w:after="0" w:line="221" w:lineRule="exact"/>
        <w:rPr>
          <w:sz w:val="20"/>
          <w:szCs w:val="20"/>
          <w:color w:val="auto"/>
        </w:rPr>
      </w:pPr>
    </w:p>
    <w:p>
      <w:pPr>
        <w:ind w:left="320" w:right="20"/>
        <w:spacing w:after="0" w:line="264" w:lineRule="auto"/>
        <w:rPr>
          <w:sz w:val="20"/>
          <w:szCs w:val="20"/>
          <w:color w:val="auto"/>
        </w:rPr>
      </w:pPr>
      <w:r>
        <w:rPr>
          <w:rFonts w:ascii="Times New Roman" w:cs="Times New Roman" w:eastAsia="Times New Roman" w:hAnsi="Times New Roman"/>
          <w:sz w:val="17"/>
          <w:szCs w:val="17"/>
          <w:color w:val="auto"/>
        </w:rPr>
        <w:t>Financial instruments that potentially subject the Group to significant concentration of credit risk consist primarily of cash and cash equivalents, restricted cash, short - term investment, term deposits, accounts receivable and receivables from online payment platforms. As of December 31, 2022 and 2023, the aggregate amounts of cash and cash equivalents and restricted cash of RMB3,316.8 million and RMB3,724.9 million (US$524.6 million), respectively, were held at major financial institutions located in the PRC and US$31.5 million and US$3.9 million (RMB27.8 million), respectively, were deposited with major financial institutions located outside the PRC. Management believes that these financial institutions are of high credit quality and continually monitors the credit worthiness of these financial institutions. On May 1, 2015, China’s new Deposit Insurance Regulation came into effect, pursuant to which banking financial institutions, such as commercial banks, established in China are required to purchase deposit insurance for deposits in RMB and in foreign currency placed with them. Such Deposit Insurance Regulation would not be effective in providing complete protection for the Group’s accounts, as its aggregate deposits are much higher than the compensation limit. However, the Group believes that the risk of failure of any of these Chinese banks is remote. Bank failure is uncommon in China and the Group believes that those Chinese banks that hold the Group’s cash and cash equivalents and restricted cash are financially sound based on public available information.</w:t>
      </w:r>
    </w:p>
    <w:p>
      <w:pPr>
        <w:spacing w:after="0" w:line="176" w:lineRule="exact"/>
        <w:rPr>
          <w:sz w:val="20"/>
          <w:szCs w:val="20"/>
          <w:color w:val="auto"/>
        </w:rPr>
      </w:pPr>
    </w:p>
    <w:p>
      <w:pPr>
        <w:ind w:left="320" w:right="300"/>
        <w:spacing w:after="0" w:line="251" w:lineRule="auto"/>
        <w:rPr>
          <w:sz w:val="20"/>
          <w:szCs w:val="20"/>
          <w:color w:val="auto"/>
        </w:rPr>
      </w:pPr>
      <w:r>
        <w:rPr>
          <w:rFonts w:ascii="Times New Roman" w:cs="Times New Roman" w:eastAsia="Times New Roman" w:hAnsi="Times New Roman"/>
          <w:sz w:val="18"/>
          <w:szCs w:val="18"/>
          <w:color w:val="auto"/>
        </w:rPr>
        <w:t>Accounts receivable and receivables from online payment platforms are unsecured and denominated in RMB. Accounts receivable represents the amounts that the Group has an unconditional right to consideration. Receivables from online payment platforms are derived when the third-party payment platforms, on behalf of the Company, collect the proceeds of sales made by the Group to its customers. They are exposed to credit risk. The risk is mitigated by credit evaluations the Group performs on the selected corporate customers and online payment platforms that are highly reputable, and the deposits from partners as guarantees. There has been no default of payments in history.</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PRINCIPAL RISKS (CONTINUED)</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Business, customer, political, social and economic risks</w:t>
      </w:r>
    </w:p>
    <w:p>
      <w:pPr>
        <w:spacing w:after="0" w:line="221" w:lineRule="exact"/>
        <w:rPr>
          <w:sz w:val="20"/>
          <w:szCs w:val="20"/>
          <w:color w:val="auto"/>
        </w:rPr>
      </w:pPr>
    </w:p>
    <w:p>
      <w:pPr>
        <w:ind w:left="320" w:right="220"/>
        <w:spacing w:after="0" w:line="274" w:lineRule="auto"/>
        <w:rPr>
          <w:sz w:val="20"/>
          <w:szCs w:val="20"/>
          <w:color w:val="auto"/>
        </w:rPr>
      </w:pPr>
      <w:r>
        <w:rPr>
          <w:rFonts w:ascii="Times New Roman" w:cs="Times New Roman" w:eastAsia="Times New Roman" w:hAnsi="Times New Roman"/>
          <w:sz w:val="18"/>
          <w:szCs w:val="18"/>
          <w:color w:val="auto"/>
        </w:rPr>
        <w:t>The Group participates in a dynamic and competitive industry and believes that changes in the following areas could have a material adverse effect on the Group’s future financial position, results of operations or cash flows:</w:t>
      </w:r>
    </w:p>
    <w:p>
      <w:pPr>
        <w:spacing w:after="0" w:line="163" w:lineRule="exact"/>
        <w:rPr>
          <w:sz w:val="20"/>
          <w:szCs w:val="20"/>
          <w:color w:val="auto"/>
        </w:rPr>
      </w:pPr>
    </w:p>
    <w:p>
      <w:pPr>
        <w:ind w:left="660" w:hanging="309"/>
        <w:spacing w:after="0" w:line="25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risk — The Group’s operations rely on some suppliers for its major raw materials including coffee beans, dairy, sugar and syrup, pre-made products and coffee machine equipment. There can be no assurance that the Group will be able to secure the raw materials, pre-made products and coffee machine equipment supply from these suppliers. Any termination or suspension of the supply arrangements, any change in cooperation terms, or the deterioration of cooperation relationships with these suppliers may materially and adversely affect the Group’s results of operations. No supplier accounted for 10% or more of the Group’s total purchasing for the years ended December 31, 2021, 2022 and 2023.</w:t>
      </w:r>
    </w:p>
    <w:p>
      <w:pPr>
        <w:spacing w:after="0" w:line="185" w:lineRule="exact"/>
        <w:rPr>
          <w:sz w:val="20"/>
          <w:szCs w:val="20"/>
          <w:color w:val="auto"/>
        </w:rPr>
      </w:pPr>
    </w:p>
    <w:p>
      <w:pPr>
        <w:ind w:left="640" w:right="80" w:hanging="315"/>
        <w:spacing w:after="0" w:line="259" w:lineRule="auto"/>
        <w:tabs>
          <w:tab w:leader="none" w:pos="6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risk – The success of the Group’s business going forward will rely in part on the Group’s ability to continue to obtain and expand business from existing customers while also attracting new customers. No customer accounted for 10% or more of the Group’s revenues for the years ended December 31, 2021, 2022 and 2023.</w:t>
      </w:r>
    </w:p>
    <w:p>
      <w:pPr>
        <w:spacing w:after="0" w:line="177" w:lineRule="exact"/>
        <w:rPr>
          <w:rFonts w:ascii="Times New Roman" w:cs="Times New Roman" w:eastAsia="Times New Roman" w:hAnsi="Times New Roman"/>
          <w:sz w:val="18"/>
          <w:szCs w:val="18"/>
          <w:color w:val="auto"/>
        </w:rPr>
      </w:pPr>
    </w:p>
    <w:p>
      <w:pPr>
        <w:ind w:left="640" w:right="100" w:hanging="315"/>
        <w:spacing w:after="0" w:line="251" w:lineRule="auto"/>
        <w:tabs>
          <w:tab w:leader="none" w:pos="6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risk – 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Foreign currency exchange rate risk</w:t>
      </w:r>
    </w:p>
    <w:p>
      <w:pPr>
        <w:spacing w:after="0" w:line="22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From July 2005, the RMB is permitted to fluctuate within a narrow and managed band against a basket of certain foreign currencies. The appreciation/ (depreciation) of the US$ against RMB was approximately (2.3)%, 8.2% and 2.9% for the years ended December 31, 2021, 2022 and 2023, respectively. The functional currency and the reporting currency of the Company, Luckin BVI and Luckin HK, Luckin Roasting, Luckin Trading HK and Luckin Roastery are the US$ and the RMB, respectively. The functional currency of the PRC subsidiaries and the VIE is the RMB. All of the Group’s revenues and costs are denominated in RMB, while a portion of cash and cash equivalents are denominated in U.S. dollars. Any significant revaluation of RMB may materially and adversely affect the Group’s cash flows, revenues, earnings and financial position in U.S. dollars.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  Currency convertibility risk</w:t>
      </w:r>
    </w:p>
    <w:p>
      <w:pPr>
        <w:spacing w:after="0" w:line="221" w:lineRule="exact"/>
        <w:rPr>
          <w:sz w:val="20"/>
          <w:szCs w:val="20"/>
          <w:color w:val="auto"/>
        </w:rPr>
      </w:pPr>
    </w:p>
    <w:p>
      <w:pPr>
        <w:ind w:left="320" w:right="60"/>
        <w:spacing w:after="0" w:line="272" w:lineRule="auto"/>
        <w:rPr>
          <w:sz w:val="20"/>
          <w:szCs w:val="20"/>
          <w:color w:val="auto"/>
        </w:rPr>
      </w:pPr>
      <w:r>
        <w:rPr>
          <w:rFonts w:ascii="Times New Roman" w:cs="Times New Roman" w:eastAsia="Times New Roman" w:hAnsi="Times New Roman"/>
          <w:sz w:val="17"/>
          <w:szCs w:val="17"/>
          <w:color w:val="auto"/>
        </w:rPr>
        <w:t>The Group transacts all of its business in RMB, which is not freely convertible into foreign currencies. On January 1, 1994, the PRC government abolished the dual rate system and introduced a single rate of exchange as quoted daily by the People’s Bank of China (the</w:t>
      </w:r>
    </w:p>
    <w:p>
      <w:pPr>
        <w:ind w:left="320" w:right="20"/>
        <w:spacing w:after="0" w:line="267" w:lineRule="auto"/>
        <w:rPr>
          <w:sz w:val="20"/>
          <w:szCs w:val="20"/>
          <w:color w:val="auto"/>
        </w:rPr>
      </w:pPr>
      <w:r>
        <w:rPr>
          <w:rFonts w:ascii="Times New Roman" w:cs="Times New Roman" w:eastAsia="Times New Roman" w:hAnsi="Times New Roman"/>
          <w:sz w:val="17"/>
          <w:szCs w:val="17"/>
          <w:color w:val="auto"/>
        </w:rPr>
        <w:t>“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  Interest rate risk</w:t>
      </w:r>
    </w:p>
    <w:p>
      <w:pPr>
        <w:spacing w:after="0" w:line="221" w:lineRule="exact"/>
        <w:rPr>
          <w:sz w:val="20"/>
          <w:szCs w:val="20"/>
          <w:color w:val="auto"/>
        </w:rPr>
      </w:pPr>
    </w:p>
    <w:p>
      <w:pPr>
        <w:ind w:left="320" w:right="60"/>
        <w:spacing w:after="0" w:line="255" w:lineRule="auto"/>
        <w:rPr>
          <w:sz w:val="20"/>
          <w:szCs w:val="20"/>
          <w:color w:val="auto"/>
        </w:rPr>
      </w:pPr>
      <w:r>
        <w:rPr>
          <w:rFonts w:ascii="Times New Roman" w:cs="Times New Roman" w:eastAsia="Times New Roman" w:hAnsi="Times New Roman"/>
          <w:sz w:val="18"/>
          <w:szCs w:val="18"/>
          <w:color w:val="auto"/>
        </w:rPr>
        <w:t>The Group is exposed to interest rate risk on its interest-bearing assets and liabilities. As part of its asset and liability risk management, the Group reviews and takes appropriate steps to manage its interest rate exposures on its interest-bearing assets and liabilities. The Group has not been exposed to material risks due to changes in market interest rates, and not used any derivative financial instruments to manage the interest risk exposure during the years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3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80" w:type="dxa"/>
            <w:vAlign w:val="bottom"/>
            <w:tcBorders>
              <w:bottom w:val="single" w:sz="8" w:color="auto"/>
            </w:tcBorders>
          </w:tcPr>
          <w:p>
            <w:pPr>
              <w:jc w:val="right"/>
              <w:ind w:right="158"/>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656"/>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7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5"/>
                <w:szCs w:val="15"/>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06"/>
        </w:trPr>
        <w:tc>
          <w:tcPr>
            <w:tcW w:w="3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due from partners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due from corporate customers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58,973</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80,665</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58,782</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80,665</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jc w:val="right"/>
              <w:ind w:right="143"/>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5"/>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7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886,336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supplies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289,537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651,634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Pre-made food and beverage items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1,206,467</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2,204,000</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310,427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40" w:type="dxa"/>
            <w:vAlign w:val="bottom"/>
            <w:gridSpan w:val="2"/>
          </w:tcPr>
          <w:p>
            <w:pPr>
              <w:jc w:val="right"/>
              <w:ind w:right="2423"/>
              <w:spacing w:after="0"/>
              <w:rPr>
                <w:sz w:val="20"/>
                <w:szCs w:val="20"/>
                <w:color w:val="auto"/>
              </w:rPr>
            </w:pPr>
            <w:r>
              <w:rPr>
                <w:rFonts w:ascii="Times New Roman" w:cs="Times New Roman" w:eastAsia="Times New Roman" w:hAnsi="Times New Roman"/>
                <w:sz w:val="18"/>
                <w:szCs w:val="18"/>
                <w:color w:val="auto"/>
              </w:rPr>
              <w:t>F-28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PREPAID EXPENSES AND OTHER CURRENT ASSETS, NET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24"/>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auto"/>
            </w:tcBorders>
            <w:gridSpan w:val="5"/>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184"/>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input VAT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156,765</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Prepaid rental and deposits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materials and advertising fees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Prepaid operating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1,077,719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1,544,918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217,597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ind w:right="184"/>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5"/>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4"/>
          </w:tcPr>
          <w:p>
            <w:pPr>
              <w:jc w:val="right"/>
              <w:ind w:right="4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top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equipment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2,417,877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340,551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1,126,562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2,235,034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314,798</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others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44,408</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Office buildings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811,666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67,718</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subject to operating leases</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48,764</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Mechanical equipment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3,590,198</w:t>
            </w: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6,223,424</w:t>
            </w: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876,551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(1,546,362)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(286,901)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(176,458)</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1,867,378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4,169,141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500"/>
        <w:spacing w:after="0" w:line="274" w:lineRule="auto"/>
        <w:rPr>
          <w:sz w:val="20"/>
          <w:szCs w:val="20"/>
          <w:color w:val="auto"/>
        </w:rPr>
      </w:pPr>
      <w:r>
        <w:rPr>
          <w:rFonts w:ascii="Times New Roman" w:cs="Times New Roman" w:eastAsia="Times New Roman" w:hAnsi="Times New Roman"/>
          <w:sz w:val="18"/>
          <w:szCs w:val="18"/>
          <w:color w:val="auto"/>
        </w:rPr>
        <w:t>Depreciation expense was RMB465.2 million, RMB391.7 million and RMB604.0 million (US$85.1 million) for the years ended December 31, 2021, 2022 and 2023, respectively.</w:t>
      </w:r>
    </w:p>
    <w:p>
      <w:pPr>
        <w:spacing w:after="0" w:line="163" w:lineRule="exact"/>
        <w:rPr>
          <w:sz w:val="20"/>
          <w:szCs w:val="20"/>
          <w:color w:val="auto"/>
        </w:rPr>
      </w:pPr>
    </w:p>
    <w:p>
      <w:pPr>
        <w:ind w:left="320" w:right="60"/>
        <w:spacing w:after="0" w:line="269" w:lineRule="auto"/>
        <w:rPr>
          <w:sz w:val="20"/>
          <w:szCs w:val="20"/>
          <w:color w:val="auto"/>
        </w:rPr>
      </w:pPr>
      <w:r>
        <w:rPr>
          <w:rFonts w:ascii="Times New Roman" w:cs="Times New Roman" w:eastAsia="Times New Roman" w:hAnsi="Times New Roman"/>
          <w:sz w:val="17"/>
          <w:szCs w:val="17"/>
          <w:color w:val="auto"/>
        </w:rPr>
        <w:t>In June 2018, the Group entered into a project cooperation agreement and a strategic cooperation agreement with Xiamen municipal government and UCAR Inc. (collectively as the “Tri-Party Agreement”), pursuant to which the Group acquired the new headquarters building under favorable pricing terms that came with commitments, including meeting certain requirements around tax contribution, operating performance and capital investments. On February 19, 2024, the Company entered into a new cooperation agreement with Xiamen municipal government, in which the commitments for the favorable pricing terms were modified. As of the date of this annual report, the Group is in the process of obtaining the real property ownership certificate for its headquarters.</w:t>
      </w:r>
    </w:p>
    <w:p>
      <w:pPr>
        <w:spacing w:after="0" w:line="169"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color w:val="auto"/>
        </w:rPr>
        <w:t>As of December 31, 2022, the balance of impairment for property and equipment was RMB176.5 million, which consisted of RMB 175.7 million for store operating equipment (including RMB167.1 million for the asset group related to Luckin Coffee EXPRESS) and RMB 0.8 million for office equipment and others. During the year ended December 31, 2022 , impairment for property and equipment of RMB220.7 million (US$32.0 million) was provided, which was mainly related to a full impairment for Luckin Coffee EXPRESS machines due to historical underperformance and updated strategy and business projections for Luckin Coffee EXPRESS machines determined by the management. Impairment provision of RMB107.8 million for Luckin Coffee EXPRESS and RMB 17.0 million for store operating equipment and others were written off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8" w:lineRule="exact"/>
        <w:rPr>
          <w:sz w:val="20"/>
          <w:szCs w:val="20"/>
          <w:color w:val="auto"/>
        </w:rPr>
      </w:pPr>
    </w:p>
    <w:p>
      <w:pPr>
        <w:ind w:left="320" w:right="120"/>
        <w:spacing w:after="0" w:line="259" w:lineRule="auto"/>
        <w:rPr>
          <w:sz w:val="20"/>
          <w:szCs w:val="20"/>
          <w:color w:val="auto"/>
        </w:rPr>
      </w:pPr>
      <w:r>
        <w:rPr>
          <w:rFonts w:ascii="Times New Roman" w:cs="Times New Roman" w:eastAsia="Times New Roman" w:hAnsi="Times New Roman"/>
          <w:sz w:val="18"/>
          <w:szCs w:val="18"/>
          <w:color w:val="auto"/>
        </w:rPr>
        <w:t>As of December 31, 2023, the balance of impairment for property and equipment was RMB17.3 million (US$2.4 million), which mainly consisted of RMB 11.7 million for store operating equipment and RMB 5.6 million for office equipment and others (including RMB 4.5 million for assets in relation to Luckin Tea).</w:t>
      </w:r>
    </w:p>
    <w:p>
      <w:pPr>
        <w:spacing w:after="0" w:line="178"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impairment for property and equipment of RMB5.2 million (US$0.7 million) was provided, which was mainly related to a full impairment for assets in relation to Luckin Tea due to the permanent closure of related business. Impairment provision of RMB164.6 million for store operating equipment and others, which primarily consisted of provision for Luckin Coffee EXPRESS, were written off for the year ended December 31, 2023.</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OTHER NON-CURRENT ASSETS, NET</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4"/>
                <w:szCs w:val="14"/>
                <w:color w:val="auto"/>
              </w:rPr>
            </w:pPr>
          </w:p>
        </w:tc>
      </w:tr>
      <w:tr>
        <w:trPr>
          <w:trHeight w:val="139"/>
        </w:trPr>
        <w:tc>
          <w:tcPr>
            <w:tcW w:w="2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00" w:type="dxa"/>
            <w:vAlign w:val="bottom"/>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gridSpan w:val="4"/>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2"/>
                <w:szCs w:val="12"/>
                <w:color w:val="auto"/>
              </w:rPr>
            </w:pPr>
          </w:p>
        </w:tc>
      </w:tr>
      <w:tr>
        <w:trPr>
          <w:trHeight w:val="139"/>
        </w:trPr>
        <w:tc>
          <w:tcPr>
            <w:tcW w:w="2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60" w:type="dxa"/>
            <w:vAlign w:val="bottom"/>
            <w:tcBorders>
              <w:top w:val="single" w:sz="8" w:color="auto"/>
            </w:tcBorders>
            <w:gridSpan w:val="3"/>
          </w:tcPr>
          <w:p>
            <w:pPr>
              <w:jc w:val="center"/>
              <w:ind w:right="3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20" w:type="dxa"/>
            <w:vAlign w:val="bottom"/>
            <w:tcBorders>
              <w:top w:val="single" w:sz="8" w:color="auto"/>
            </w:tcBorders>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2"/>
        </w:trPr>
        <w:tc>
          <w:tcPr>
            <w:tcW w:w="62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Long-term guarantee deposits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 for equipment,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w:t>
            </w:r>
          </w:p>
        </w:tc>
      </w:tr>
      <w:tr>
        <w:trPr>
          <w:trHeight w:val="212"/>
        </w:trPr>
        <w:tc>
          <w:tcPr>
            <w:tcW w:w="62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Land use rights, net</w:t>
            </w:r>
            <w:r>
              <w:rPr>
                <w:rFonts w:ascii="Times New Roman" w:cs="Times New Roman" w:eastAsia="Times New Roman" w:hAnsi="Times New Roman"/>
                <w:sz w:val="24"/>
                <w:szCs w:val="24"/>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leasehold improvements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non-current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05"/>
        </w:trPr>
        <w:tc>
          <w:tcPr>
            <w:tcW w:w="2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2"/>
        </w:trPr>
        <w:tc>
          <w:tcPr>
            <w:tcW w:w="24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111,198</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4" w:lineRule="exact"/>
        <w:rPr>
          <w:sz w:val="20"/>
          <w:szCs w:val="20"/>
          <w:color w:val="auto"/>
        </w:rPr>
      </w:pPr>
    </w:p>
    <w:p>
      <w:pPr>
        <w:ind w:left="660" w:hanging="309"/>
        <w:spacing w:after="0"/>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guarantee deposits mainly represent rental and renovation deposits over 1 year.</w:t>
      </w:r>
    </w:p>
    <w:p>
      <w:pPr>
        <w:spacing w:after="0" w:line="24" w:lineRule="exact"/>
        <w:rPr>
          <w:rFonts w:ascii="Times New Roman" w:cs="Times New Roman" w:eastAsia="Times New Roman" w:hAnsi="Times New Roman"/>
          <w:sz w:val="18"/>
          <w:szCs w:val="18"/>
          <w:color w:val="auto"/>
        </w:rPr>
      </w:pPr>
    </w:p>
    <w:p>
      <w:pPr>
        <w:ind w:left="660" w:hanging="309"/>
        <w:spacing w:after="0" w:line="24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use rights represent payments to the local government authorities for use of lands for 50 years, net of accumulated amortization. As of December 31, 2022 and 2023, the carrying amounts of land use rights are RMB26.1 million and RMB32.0 million, respectively, which represent the result of their original values of RMB26.7 million and RMB33.1 million, netting off accumulated amortization of RMB0.6 million and RMB1.2 million, respectively. Land use rights are amortized on a straight-line basis with amortization expenses of RMB0.15 million, RMB0.2 million and RMB0.6 million (US$0.1 million) for the years ended December 31, 2021, 2022 and 2023, respectively.</w:t>
      </w:r>
    </w:p>
    <w:p>
      <w:pPr>
        <w:spacing w:after="0" w:line="189"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4"/>
                <w:szCs w:val="14"/>
                <w:color w:val="auto"/>
              </w:rPr>
            </w:pPr>
          </w:p>
        </w:tc>
      </w:tr>
      <w:tr>
        <w:trPr>
          <w:trHeight w:val="139"/>
        </w:trPr>
        <w:tc>
          <w:tcPr>
            <w:tcW w:w="2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00" w:type="dxa"/>
            <w:vAlign w:val="bottom"/>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4"/>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2"/>
                <w:szCs w:val="12"/>
                <w:color w:val="auto"/>
              </w:rPr>
            </w:pPr>
          </w:p>
        </w:tc>
      </w:tr>
      <w:tr>
        <w:trPr>
          <w:trHeight w:val="139"/>
        </w:trPr>
        <w:tc>
          <w:tcPr>
            <w:tcW w:w="2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00" w:type="dxa"/>
            <w:vAlign w:val="bottom"/>
            <w:tcBorders>
              <w:top w:val="single" w:sz="8" w:color="auto"/>
            </w:tcBorders>
          </w:tcPr>
          <w:p>
            <w:pPr>
              <w:jc w:val="right"/>
              <w:ind w:right="19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3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40" w:type="dxa"/>
            <w:vAlign w:val="bottom"/>
            <w:tcBorders>
              <w:top w:val="single" w:sz="8" w:color="auto"/>
            </w:tcBorders>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welfare payables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105,098</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the purchase of property and equipment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529,448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74,571</w:t>
            </w:r>
          </w:p>
        </w:tc>
      </w:tr>
      <w:tr>
        <w:trPr>
          <w:trHeight w:val="21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office supplies and utilities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64,086</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delivery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36,642</w:t>
            </w:r>
          </w:p>
        </w:tc>
      </w:tr>
      <w:tr>
        <w:trPr>
          <w:trHeight w:val="21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advertising expenditures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18,622</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taxes payables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12"/>
        </w:trPr>
        <w:tc>
          <w:tcPr>
            <w:tcW w:w="6240" w:type="dxa"/>
            <w:vAlign w:val="bottom"/>
            <w:gridSpan w:val="2"/>
            <w:shd w:val="clear" w:color="auto" w:fill="CCEEFF"/>
          </w:tcPr>
          <w:p>
            <w:pPr>
              <w:spacing w:after="0" w:line="212" w:lineRule="exact"/>
              <w:rPr>
                <w:sz w:val="20"/>
                <w:szCs w:val="20"/>
                <w:color w:val="auto"/>
              </w:rPr>
            </w:pPr>
            <w:r>
              <w:rPr>
                <w:rFonts w:ascii="Times New Roman" w:cs="Times New Roman" w:eastAsia="Times New Roman" w:hAnsi="Times New Roman"/>
                <w:sz w:val="16"/>
                <w:szCs w:val="16"/>
                <w:color w:val="auto"/>
              </w:rPr>
              <w:t>Payables for professional service fees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1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w:t>
            </w:r>
          </w:p>
        </w:tc>
      </w:tr>
      <w:tr>
        <w:trPr>
          <w:trHeight w:val="205"/>
        </w:trPr>
        <w:tc>
          <w:tcPr>
            <w:tcW w:w="248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2"/>
        </w:trPr>
        <w:tc>
          <w:tcPr>
            <w:tcW w:w="2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2,556,977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360,143</w:t>
            </w:r>
          </w:p>
        </w:tc>
      </w:tr>
      <w:tr>
        <w:trPr>
          <w:trHeight w:val="20"/>
        </w:trPr>
        <w:tc>
          <w:tcPr>
            <w:tcW w:w="2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4" w:lineRule="exact"/>
        <w:rPr>
          <w:sz w:val="20"/>
          <w:szCs w:val="20"/>
          <w:color w:val="auto"/>
        </w:rPr>
      </w:pPr>
    </w:p>
    <w:p>
      <w:pPr>
        <w:ind w:left="640" w:right="20" w:hanging="315"/>
        <w:spacing w:after="0" w:line="259"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 reversed RMB 44.7 million (US$ 6.3 million) of accrued professional service fees following the settlement with certain underwriters relating to indemnification of their defense costs in connection with the Fabricated Transactions.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Related parties</w:t>
      </w:r>
    </w:p>
    <w:p>
      <w:pPr>
        <w:spacing w:after="0" w:line="300"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Names of related parties</w:t>
            </w:r>
          </w:p>
        </w:tc>
        <w:tc>
          <w:tcPr>
            <w:tcW w:w="180" w:type="dxa"/>
            <w:vAlign w:val="bottom"/>
          </w:tcPr>
          <w:p>
            <w:pPr>
              <w:spacing w:after="0"/>
              <w:rPr>
                <w:sz w:val="15"/>
                <w:szCs w:val="15"/>
                <w:color w:val="auto"/>
              </w:rPr>
            </w:pPr>
          </w:p>
        </w:tc>
        <w:tc>
          <w:tcPr>
            <w:tcW w:w="4560" w:type="dxa"/>
            <w:vAlign w:val="bottom"/>
          </w:tcPr>
          <w:p>
            <w:pPr>
              <w:ind w:left="1380"/>
              <w:spacing w:after="0"/>
              <w:rPr>
                <w:sz w:val="20"/>
                <w:szCs w:val="20"/>
                <w:color w:val="auto"/>
              </w:rPr>
            </w:pPr>
            <w:r>
              <w:rPr>
                <w:rFonts w:ascii="Times New Roman" w:cs="Times New Roman" w:eastAsia="Times New Roman" w:hAnsi="Times New Roman"/>
                <w:sz w:val="13"/>
                <w:szCs w:val="13"/>
                <w:b w:val="1"/>
                <w:bCs w:val="1"/>
                <w:color w:val="auto"/>
              </w:rPr>
              <w:t>Relationship with the Company</w:t>
            </w:r>
          </w:p>
        </w:tc>
      </w:tr>
      <w:tr>
        <w:trPr>
          <w:trHeight w:val="180"/>
        </w:trPr>
        <w:tc>
          <w:tcPr>
            <w:tcW w:w="45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Shanghai Tianshu Zhixin Semiconductor Co., Ltd (“Tianshu”)</w:t>
            </w:r>
          </w:p>
        </w:tc>
        <w:tc>
          <w:tcPr>
            <w:tcW w:w="180" w:type="dxa"/>
            <w:vAlign w:val="bottom"/>
            <w:tcBorders>
              <w:top w:val="single" w:sz="8" w:color="CCEEFF"/>
            </w:tcBorders>
            <w:shd w:val="clear" w:color="auto" w:fill="CCEEFF"/>
          </w:tcPr>
          <w:p>
            <w:pPr>
              <w:spacing w:after="0"/>
              <w:rPr>
                <w:sz w:val="15"/>
                <w:szCs w:val="15"/>
                <w:color w:val="auto"/>
              </w:rPr>
            </w:pPr>
          </w:p>
        </w:tc>
        <w:tc>
          <w:tcPr>
            <w:tcW w:w="456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w w:val="98"/>
              </w:rPr>
              <w:t>An entity significantly influenced by the Company’s controlling</w:t>
            </w:r>
          </w:p>
        </w:tc>
      </w:tr>
      <w:tr>
        <w:trPr>
          <w:trHeight w:val="230"/>
        </w:trPr>
        <w:tc>
          <w:tcPr>
            <w:tcW w:w="4560" w:type="dxa"/>
            <w:vAlign w:val="bottom"/>
            <w:shd w:val="clear" w:color="auto" w:fill="CCEEFF"/>
          </w:tcPr>
          <w:p>
            <w:pPr>
              <w:spacing w:after="0"/>
              <w:rPr>
                <w:sz w:val="20"/>
                <w:szCs w:val="20"/>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w:t>
            </w:r>
          </w:p>
        </w:tc>
      </w:tr>
      <w:tr>
        <w:trPr>
          <w:trHeight w:val="194"/>
        </w:trPr>
        <w:tc>
          <w:tcPr>
            <w:tcW w:w="4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Goumei (Zhejiang) Information Technology Co., Ltd</w:t>
            </w:r>
          </w:p>
        </w:tc>
        <w:tc>
          <w:tcPr>
            <w:tcW w:w="474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w w:val="98"/>
              </w:rPr>
              <w:t>An entity significantly influenced by the Company’s controlling</w:t>
            </w:r>
          </w:p>
        </w:tc>
      </w:tr>
      <w:tr>
        <w:trPr>
          <w:trHeight w:val="23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(“Goumei”)</w:t>
            </w: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66675</wp:posOffset>
            </wp:positionV>
            <wp:extent cx="15735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1573530" cy="8255"/>
                    </a:xfrm>
                    <a:prstGeom prst="rect">
                      <a:avLst/>
                    </a:prstGeom>
                    <a:noFill/>
                  </pic:spPr>
                </pic:pic>
              </a:graphicData>
            </a:graphic>
          </wp:anchor>
        </w:drawing>
      </w:r>
    </w:p>
    <w:p>
      <w:pPr>
        <w:spacing w:after="0" w:line="173" w:lineRule="exact"/>
        <w:rPr>
          <w:sz w:val="20"/>
          <w:szCs w:val="20"/>
          <w:color w:val="auto"/>
        </w:rPr>
      </w:pPr>
    </w:p>
    <w:p>
      <w:pPr>
        <w:ind w:left="640" w:right="200" w:hanging="315"/>
        <w:spacing w:after="0" w:line="274"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disclosed elsewhere, the Group had the following significant related party transactions for the years ended December 31, 2021, 2022 and 2023:</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80" w:type="dxa"/>
            <w:vAlign w:val="bottom"/>
            <w:gridSpan w:val="2"/>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Borders>
              <w:bottom w:val="single" w:sz="8" w:color="auto"/>
            </w:tcBorders>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ind w:right="261"/>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49"/>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received from:</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—Goumei</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purchased from</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—Tianshu</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82,108</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20" w:firstLine="5"/>
        <w:spacing w:after="0" w:line="274" w:lineRule="auto"/>
        <w:tabs>
          <w:tab w:leader="none" w:pos="6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disclosed elsewhere, the Group had the following significant amounts due to related party as of December 31, 2022 and 2023:</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r>
      <w:tr>
        <w:trPr>
          <w:trHeight w:val="139"/>
        </w:trPr>
        <w:tc>
          <w:tcPr>
            <w:tcW w:w="6440" w:type="dxa"/>
            <w:vAlign w:val="bottom"/>
          </w:tcPr>
          <w:p>
            <w:pPr>
              <w:spacing w:after="0"/>
              <w:rPr>
                <w:sz w:val="12"/>
                <w:szCs w:val="12"/>
                <w:color w:val="auto"/>
              </w:rPr>
            </w:pPr>
          </w:p>
        </w:tc>
        <w:tc>
          <w:tcPr>
            <w:tcW w:w="720" w:type="dxa"/>
            <w:vAlign w:val="bottom"/>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5"/>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r>
      <w:tr>
        <w:trPr>
          <w:trHeight w:val="139"/>
        </w:trPr>
        <w:tc>
          <w:tcPr>
            <w:tcW w:w="6440" w:type="dxa"/>
            <w:vAlign w:val="bottom"/>
          </w:tcPr>
          <w:p>
            <w:pPr>
              <w:spacing w:after="0"/>
              <w:rPr>
                <w:sz w:val="12"/>
                <w:szCs w:val="12"/>
                <w:color w:val="auto"/>
              </w:rPr>
            </w:pPr>
          </w:p>
        </w:tc>
        <w:tc>
          <w:tcPr>
            <w:tcW w:w="720" w:type="dxa"/>
            <w:vAlign w:val="bottom"/>
            <w:tcBorders>
              <w:top w:val="single" w:sz="8" w:color="auto"/>
            </w:tcBorders>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top w:val="single" w:sz="8" w:color="auto"/>
            </w:tcBorders>
            <w:gridSpan w:val="3"/>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—Goumei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—Tianshu</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05"/>
        </w:trPr>
        <w:tc>
          <w:tcPr>
            <w:tcW w:w="6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3,932</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31,610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4,452</w:t>
            </w:r>
          </w:p>
        </w:tc>
      </w:tr>
      <w:tr>
        <w:trPr>
          <w:trHeight w:val="20"/>
        </w:trPr>
        <w:tc>
          <w:tcPr>
            <w:tcW w:w="6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00" w:hanging="293"/>
        <w:spacing w:after="0"/>
        <w:tabs>
          <w:tab w:leader="none" w:pos="3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19" w:lineRule="exact"/>
        <w:rPr>
          <w:rFonts w:ascii="Times New Roman" w:cs="Times New Roman" w:eastAsia="Times New Roman" w:hAnsi="Times New Roman"/>
          <w:sz w:val="18"/>
          <w:szCs w:val="18"/>
          <w:b w:val="1"/>
          <w:bCs w:val="1"/>
          <w:color w:val="auto"/>
        </w:rPr>
      </w:pPr>
    </w:p>
    <w:p>
      <w:pPr>
        <w:jc w:val="both"/>
        <w:ind w:left="320" w:right="1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and VIE.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 and VIE.</w:t>
      </w:r>
    </w:p>
    <w:p>
      <w:pPr>
        <w:spacing w:after="0" w:line="185" w:lineRule="exact"/>
        <w:rPr>
          <w:rFonts w:ascii="Times New Roman" w:cs="Times New Roman" w:eastAsia="Times New Roman" w:hAnsi="Times New Roman"/>
          <w:sz w:val="18"/>
          <w:szCs w:val="18"/>
          <w:b w:val="1"/>
          <w:bCs w:val="1"/>
          <w:color w:val="auto"/>
        </w:rPr>
      </w:pPr>
    </w:p>
    <w:p>
      <w:pPr>
        <w:ind w:left="320" w:right="4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accordance with the PRC Regulations on Enterprises with Foreign Investment and the articles of association of the Company’s PRC subsidiaries, a foreign-invested enterprise established in the PRC is required to provide certain statutory reserves, namely the general reserve fund, the enterprise expansion fund and the staff welfare and bonus fund which are appropriated from net profit as reported in the enterprise’s PRC statutory accounts. A foreign-invested enterprise is required to allocate at least 10% of its annual net profit to the general reserve until such reserve has reached 50% of its respective registered capital based on the enterprise’s PRC statutory accounts. Appropriations to the enterprise expansion fund and the staff welfare and bonus fund are at the discretion of the board of directors for all foreign-invested enterprises. The aforementioned reserves can only be used for specific purposes and are not distributable as cash dividends. The PRC subsidiaries were established as foreign-invested enterprises and therefore, are subject to the above mandated restrictions on distributable profits. For the years ended December 31, 2021, 2022 and 2023, profit appropriation to statutory reserve for the Group’s entities incorporated in the PRC was approximately RMB2.0 million, RMB33.0 million and RMB132.5 million (US$18.7 million), respectively. No appropriation to other reserve funds was made for any of the periods presented.</w:t>
      </w:r>
    </w:p>
    <w:p>
      <w:pPr>
        <w:spacing w:after="0" w:line="178" w:lineRule="exact"/>
        <w:rPr>
          <w:rFonts w:ascii="Times New Roman" w:cs="Times New Roman" w:eastAsia="Times New Roman" w:hAnsi="Times New Roman"/>
          <w:sz w:val="18"/>
          <w:szCs w:val="18"/>
          <w:b w:val="1"/>
          <w:bCs w:val="1"/>
          <w:color w:val="auto"/>
        </w:rPr>
      </w:pPr>
    </w:p>
    <w:p>
      <w:pPr>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exchange and other regulations in the PRC may further restrict the Company’s VIE from transferring funds to the Company in the form of dividends, loans and advances. Amounts restricted include paid-in capital and statutory reserves of the Company’s PRC subsidiaries and the VIE, as determined pursuant to PRC generally accepted accounting principles. As of December 31, 2022 and 2023, restricted net assets of the Company’s PRC subsidiaries and the VIE were RMB7,647.7 million and RMB10,061.4 million (US$1,417.1 million), respectively.</w:t>
      </w:r>
    </w:p>
    <w:p>
      <w:pPr>
        <w:spacing w:after="0" w:line="183"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w:t>
      </w:r>
    </w:p>
    <w:p>
      <w:pPr>
        <w:spacing w:after="0" w:line="219" w:lineRule="exact"/>
        <w:rPr>
          <w:rFonts w:ascii="Times New Roman" w:cs="Times New Roman" w:eastAsia="Times New Roman" w:hAnsi="Times New Roman"/>
          <w:sz w:val="18"/>
          <w:szCs w:val="18"/>
          <w:b w:val="1"/>
          <w:bCs w:val="1"/>
          <w:color w:val="auto"/>
        </w:rPr>
      </w:pPr>
    </w:p>
    <w:p>
      <w:pPr>
        <w:ind w:left="320"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14, 2020, the Company closed the offering of US$400 million in aggregate principal amount of convertible senior notes due 2025 (the “Primary Notes Offering”) and on January 17, 2020, the Company completed the issuance of an additional US$60 million in aggregate principal amount of convertible senior notes due 2025 (the “Additional Notes Offering” and the notes offered under the Primary Notes Offering and the Additional Notes Offering collectively, the “Notes”), both of which were with a stated annual interest rate of 0.75%. The Company received aggregate net proceeds of approximately US$449.7 million from the Primary Notes Offering and the Additional Notes Offering.</w:t>
      </w:r>
    </w:p>
    <w:p>
      <w:pPr>
        <w:spacing w:after="0" w:line="185" w:lineRule="exact"/>
        <w:rPr>
          <w:rFonts w:ascii="Times New Roman" w:cs="Times New Roman" w:eastAsia="Times New Roman" w:hAnsi="Times New Roman"/>
          <w:sz w:val="18"/>
          <w:szCs w:val="18"/>
          <w:b w:val="1"/>
          <w:bCs w:val="1"/>
          <w:color w:val="auto"/>
        </w:rPr>
      </w:pPr>
    </w:p>
    <w:p>
      <w:pPr>
        <w:ind w:left="32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Notes did not have any embedded conversion option which shall be bifurcated and separately accounted for as a derivative under ASC 815, nor did they contain a cash conversion feature. The Company accounted for the Notes in accordance with ASC 470, as a single debt instrument. No beneficial conversion feature (the “BCF”) was recognized as the set conversion price for the Notes was greater than the fair value of the ADSs price at date of issuance.</w:t>
      </w:r>
    </w:p>
    <w:p>
      <w:pPr>
        <w:spacing w:after="0" w:line="180" w:lineRule="exact"/>
        <w:rPr>
          <w:rFonts w:ascii="Times New Roman" w:cs="Times New Roman" w:eastAsia="Times New Roman" w:hAnsi="Times New Roman"/>
          <w:sz w:val="18"/>
          <w:szCs w:val="18"/>
          <w:b w:val="1"/>
          <w:bCs w:val="1"/>
          <w:color w:val="auto"/>
        </w:rPr>
      </w:pPr>
    </w:p>
    <w:p>
      <w:pPr>
        <w:ind w:left="320" w:right="1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early adopted ASU No. 2020-06 using a modified retrospective method of transition. In applying the modified retrospective method, the Company should apply the guidance to transactions outstanding as of the beginning of the fiscal year in which the amendments are adopted. Transactions that were settled (or expired) during prior reporting periods are unaffected. The convertible senior notes issued on January 14, 2020 automatically became immediately due and payable as a normal liability upon the appointment of the Joint Provisional Liquidators (the “JPLs”) on July 15, 2020 which constituted an event of default (“Event of Default”) pursuant to the indenture with respect to the Notes (see below). Therefore, the adoption of ASU 2020-06 does not have an impact on the Notes which has turned to a normal liability upon the default event before the beginning of the fiscal year 2021.</w:t>
      </w:r>
    </w:p>
    <w:p>
      <w:pPr>
        <w:spacing w:after="0" w:line="107" w:lineRule="exact"/>
        <w:rPr>
          <w:rFonts w:ascii="Times New Roman" w:cs="Times New Roman" w:eastAsia="Times New Roman" w:hAnsi="Times New Roman"/>
          <w:sz w:val="18"/>
          <w:szCs w:val="18"/>
          <w:b w:val="1"/>
          <w:bCs w:val="1"/>
          <w:color w:val="auto"/>
        </w:rPr>
      </w:pPr>
    </w:p>
    <w:p>
      <w:pPr>
        <w:ind w:left="320" w:right="3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occurrence of this Event of Default, 100% of the principal of, and accrued and unpaid interest on the Notes automatically became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 (CONTINUED)</w:t>
      </w:r>
    </w:p>
    <w:p>
      <w:pPr>
        <w:spacing w:after="0" w:line="139" w:lineRule="exact"/>
        <w:rPr>
          <w:rFonts w:ascii="Times New Roman" w:cs="Times New Roman" w:eastAsia="Times New Roman" w:hAnsi="Times New Roman"/>
          <w:sz w:val="18"/>
          <w:szCs w:val="18"/>
          <w:b w:val="1"/>
          <w:bCs w:val="1"/>
          <w:color w:val="auto"/>
        </w:rPr>
      </w:pPr>
    </w:p>
    <w:p>
      <w:pPr>
        <w:ind w:left="320" w:right="6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indenture with respect to the Notes, the Company was obligated to pay additional interest at a rate equal to 0.5% per annum of the principal amount of the Notes outstanding for: (1) each day during the six-month period beginning on, and including, the date that is six months after the last date of original issuance of the Notes, as the Company failed to timely file any document or report that it is required to file with the Commission pursuant to Section 13 or 15(d) of the Exchange Act, as applicable ((i) after giving effect to all applicable grace periods thereunder and (ii) other than reports on Form 6-K); and (2) for so long as the restrictive legend on the Notes has not been removed as of the 380th day after the last date of original issuance of the Notes. The Company accrued the additional interest payable in the amount of US$1.1 million and US$2.0 million and charged against the interest expenses accordingly during the years ended December 31, 2020 and 2021, respectively.</w:t>
      </w:r>
    </w:p>
    <w:p>
      <w:pPr>
        <w:spacing w:after="0" w:line="123" w:lineRule="exact"/>
        <w:rPr>
          <w:rFonts w:ascii="Times New Roman" w:cs="Times New Roman" w:eastAsia="Times New Roman" w:hAnsi="Times New Roman"/>
          <w:sz w:val="18"/>
          <w:szCs w:val="18"/>
          <w:b w:val="1"/>
          <w:bCs w:val="1"/>
          <w:color w:val="auto"/>
        </w:rPr>
      </w:pPr>
    </w:p>
    <w:p>
      <w:pPr>
        <w:ind w:left="320" w:right="6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to the Event of Default, 100% of the principal of the Notes in the amount of US$460 million, the unpaid interest in the amount of US$3.3 million and US$6.8 million, and the additional interest in the amount of US$1.1 million and US$3.1 million were due and accrued as of December 31, 2020 and 2021, respectively. The Notes balances included the principal, the unpaid interest and the additional interest were recorded as non-current liabilities with total amount of US$464.4 million as of December 31, 2020 and current liabilities with total amount of US$469.9 million as of December 31, 2021. The accrued interest, additional interest and the unamortized issuance cost of the Notes with total amount of US$5.5 million, US$0.3 million and US$nil were charged against the interest expenses in the consolidation statements of operations and comprehensive income for the years ended December 31, 2021, 2022 and 2023, respectively.</w:t>
      </w:r>
    </w:p>
    <w:p>
      <w:pPr>
        <w:spacing w:after="0" w:line="123" w:lineRule="exact"/>
        <w:rPr>
          <w:rFonts w:ascii="Times New Roman" w:cs="Times New Roman" w:eastAsia="Times New Roman" w:hAnsi="Times New Roman"/>
          <w:sz w:val="18"/>
          <w:szCs w:val="18"/>
          <w:b w:val="1"/>
          <w:bCs w:val="1"/>
          <w:color w:val="auto"/>
        </w:rPr>
      </w:pPr>
    </w:p>
    <w:p>
      <w:pPr>
        <w:ind w:left="3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Subsequently in January 2022, a restructuring of the Notes was substantially consummated (as disclosed below), pursuant to which, the Notes were cancelled and the Company issued instructions to distribute certain consideration to all eligible holders of the Notes. The Group derecognized the Notes and recognized newly issued instruments upon the effectiveness of the restructuring in January 2022 and issuance of additional ADSs in April 2022 pursuant to the top-up mechanism of the restructuring. Following the restructuring of the Notes, the originally non-current liabilities recorded under the Notes before was compromised. As of December 31, 2022 and 2023, the balance of liabilities related to the Notes was both nil.</w:t>
      </w:r>
    </w:p>
    <w:p>
      <w:pPr>
        <w:spacing w:after="0" w:line="10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Restructuring of the Notes</w:t>
      </w:r>
    </w:p>
    <w:p>
      <w:pPr>
        <w:spacing w:after="0" w:line="154" w:lineRule="exact"/>
        <w:rPr>
          <w:rFonts w:ascii="Times New Roman" w:cs="Times New Roman" w:eastAsia="Times New Roman" w:hAnsi="Times New Roman"/>
          <w:sz w:val="18"/>
          <w:szCs w:val="18"/>
          <w:b w:val="1"/>
          <w:bCs w:val="1"/>
          <w:color w:val="auto"/>
        </w:rPr>
      </w:pPr>
    </w:p>
    <w:p>
      <w:pPr>
        <w:ind w:left="320" w:right="16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March 16, 2021, the Company announced that it entered into a restructuring support agreement (the “RSA”) with holders of a majority of the Notes in respect of a restructuring of the Company’s financial obligations under the supervision of the JPLs. On September 21, 2021, the Company announced that, in accordance with the terms of the RSA, it had filed a petition and summons for directions in the Cayman Court regarding a scheme of arrangement in respect of the Notes (the “Scheme”), which is a court approved arrangement in the Cayman Islands pursuant to the Companies Act. On December 1, 2021, the Company announced that at a meeting regarding the Scheme held on November 30, 2021, creditors representing approximately 97.7% in aggregate outstanding principal amount of the Notes voted unanimously to approve the Scheme and that accordingly, the Scheme was approved by the requisite majority of creditors. On December 14, 2021, the Company announced that the Cayman Court had sanctioned the Scheme. </w:t>
      </w:r>
      <w:r>
        <w:rPr>
          <w:rFonts w:ascii="Times New Roman" w:cs="Times New Roman" w:eastAsia="Times New Roman" w:hAnsi="Times New Roman"/>
          <w:sz w:val="18"/>
          <w:szCs w:val="18"/>
          <w:u w:val="single" w:color="auto"/>
          <w:color w:val="auto"/>
        </w:rPr>
        <w:t>Effectiveness of the Restructuring</w:t>
      </w:r>
    </w:p>
    <w:p>
      <w:pPr>
        <w:spacing w:after="0" w:line="90" w:lineRule="exact"/>
        <w:rPr>
          <w:rFonts w:ascii="Times New Roman" w:cs="Times New Roman" w:eastAsia="Times New Roman" w:hAnsi="Times New Roman"/>
          <w:sz w:val="18"/>
          <w:szCs w:val="18"/>
          <w:b w:val="1"/>
          <w:bCs w:val="1"/>
          <w:color w:val="auto"/>
        </w:rPr>
      </w:pPr>
    </w:p>
    <w:p>
      <w:pPr>
        <w:ind w:left="320" w:right="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announced that the Restructuring had been substantially consummated and the effective date of the Restructuring contemplated in the Scheme had occurred on January 28, 2022 (the “Restructuring Effective Date”).</w:t>
      </w:r>
    </w:p>
    <w:p>
      <w:pPr>
        <w:spacing w:after="0" w:line="97" w:lineRule="exact"/>
        <w:rPr>
          <w:rFonts w:ascii="Times New Roman" w:cs="Times New Roman" w:eastAsia="Times New Roman" w:hAnsi="Times New Roman"/>
          <w:sz w:val="18"/>
          <w:szCs w:val="18"/>
          <w:b w:val="1"/>
          <w:bCs w:val="1"/>
          <w:color w:val="auto"/>
        </w:rPr>
      </w:pPr>
    </w:p>
    <w:p>
      <w:pPr>
        <w:ind w:left="3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28, 2022, the Notes were cancelled, and, in aggregate, the Company has issued consideration (collectively, the “Scheme Consideration”) totaling US$245.5 million of cash, US$109.9 million of 9.00% Series B Senior Secured Notes due 2027 (the “New Notes”) and 9,527,601 ADSs representing 76,220,808 class A ordinary shares, which included 291,699 ADSs issued on April 4, 2022 pursuant to the top-up mechanism under the Scheme, of which 25,004 ADSs were not claimed by creditors and therefore 200,032 Class A Ordinary Shares underlying such unclaimed ADSs were returned to the Company. The New Notes represent the Company’s only offshore debt securities.</w:t>
      </w:r>
    </w:p>
    <w:p>
      <w:pPr>
        <w:spacing w:after="0" w:line="118" w:lineRule="exact"/>
        <w:rPr>
          <w:rFonts w:ascii="Times New Roman" w:cs="Times New Roman" w:eastAsia="Times New Roman" w:hAnsi="Times New Roman"/>
          <w:sz w:val="18"/>
          <w:szCs w:val="18"/>
          <w:b w:val="1"/>
          <w:bCs w:val="1"/>
          <w:color w:val="auto"/>
        </w:rPr>
      </w:pPr>
    </w:p>
    <w:p>
      <w:pPr>
        <w:ind w:left="320" w:right="5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announced that (i) the Restructuring Effective Date occurred on January 28, 2022; (ii) on the Restructuring Effective Date (a) the Notes were cancelled; and (b) the Company issued the Scheme Consideration to all eligible Scheme creditors and the Holding Period Trustee (as applicable), in accordance with the terms of the Scheme.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 (CONTINUED)</w:t>
      </w:r>
    </w:p>
    <w:p>
      <w:pPr>
        <w:spacing w:after="0" w:line="139" w:lineRule="exact"/>
        <w:rPr>
          <w:rFonts w:ascii="Times New Roman" w:cs="Times New Roman" w:eastAsia="Times New Roman" w:hAnsi="Times New Roman"/>
          <w:sz w:val="18"/>
          <w:szCs w:val="18"/>
          <w:b w:val="1"/>
          <w:bCs w:val="1"/>
          <w:color w:val="auto"/>
        </w:rPr>
      </w:pPr>
    </w:p>
    <w:p>
      <w:pPr>
        <w:ind w:left="32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2022, the Group fully redeemed the New Notes. The aggregate redemption price of the New Notes was US$115.6 million, which constitutes the aggregate principal amount outstanding plus the aggregate accrued interest. The aggregate redemption price was paid from the Group’s available offshore cash balance. Following the redemption of the New Notes, US$18.3 million (approximately RMB124.1 million) gain from extinguishment of Series B Senior Secured Notes was recognized in the consolidated statement of operations and comprehensive income.</w:t>
      </w:r>
    </w:p>
    <w:p>
      <w:pPr>
        <w:spacing w:after="0" w:line="132" w:lineRule="exact"/>
        <w:rPr>
          <w:rFonts w:ascii="Times New Roman" w:cs="Times New Roman" w:eastAsia="Times New Roman" w:hAnsi="Times New Roman"/>
          <w:sz w:val="18"/>
          <w:szCs w:val="18"/>
          <w:b w:val="1"/>
          <w:bCs w:val="1"/>
          <w:color w:val="auto"/>
        </w:rPr>
      </w:pPr>
    </w:p>
    <w:p>
      <w:pPr>
        <w:ind w:left="32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ASC815, several options were identified and shall be bifurcated from the New Notes and separately accounted for as a derivative with fair value changes to be charged in the consolidated statements of operations and comprehensive income. Derivative asset bifurcated from the New Notes was US$5.4 million on the date of initial recognition, and marked to fair value of US$4.5 million on the derecognition date, with the fair value loss of approximately US$0.9 million (RMB 6.4 million) recorded in “Fair value changes of derivative asset bifurcated from Series B Senior Secured Notes” for the year ended December 31, 2022. The derivative was derecognized as the Group paid off all of the outstanding amounts of the New Notes in August 2022.</w:t>
      </w:r>
    </w:p>
    <w:p>
      <w:pPr>
        <w:spacing w:after="0" w:line="130"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66" w:lineRule="exact"/>
        <w:rPr>
          <w:rFonts w:ascii="Times New Roman" w:cs="Times New Roman" w:eastAsia="Times New Roman" w:hAnsi="Times New Roman"/>
          <w:sz w:val="18"/>
          <w:szCs w:val="18"/>
          <w:b w:val="1"/>
          <w:bCs w:val="1"/>
          <w:color w:val="auto"/>
        </w:rPr>
      </w:pPr>
    </w:p>
    <w:p>
      <w:pPr>
        <w:ind w:left="32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Prior to the completion of the Company’s IPO, the outstanding ordinary shares consisted of Ordinary Shares and Angel Shares. Upon the completion of the Company’s IPO, 750,000 Ordinary Shares, 1,428,750 Angel Shares, 544,688 Series A Preferred Shares, 279,152 Series B Preferred Shares and 173,182 Series B-1 Preferred Shares were automatically converted into 3,175,772 Class B ordinary shares at the conversion ratio of 1:1 and were divided into 1,587,886,000 shares at the par value of US$0.000002 per share, after the 1-to-500 share split. 15,211 Series B-1 Preferred Shares were automatically converted into 15,211 Class A ordinary shares at the conversion ratio of 1:1 and were divided into 7,605,500 shares at the par value of US$0.000002 per share, after the 1-to-500 share split.</w:t>
      </w:r>
    </w:p>
    <w:p>
      <w:pPr>
        <w:spacing w:after="0" w:line="116" w:lineRule="exact"/>
        <w:rPr>
          <w:rFonts w:ascii="Times New Roman" w:cs="Times New Roman" w:eastAsia="Times New Roman" w:hAnsi="Times New Roman"/>
          <w:sz w:val="18"/>
          <w:szCs w:val="18"/>
          <w:b w:val="1"/>
          <w:bCs w:val="1"/>
          <w:color w:val="auto"/>
        </w:rPr>
      </w:pPr>
    </w:p>
    <w:p>
      <w:pPr>
        <w:ind w:left="32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an aggregate 33,000,000 ADSs through the IPO, representing 264,000,000 Class A ordinary shares for total proceeds net of underwriting discounts and commissions of US$527.7 million (RMB3,640.9 million). The Company also issued 23,529,412 Class A ordinary shares to Louis Dreyfus Company B.V. at the price of US$2.125 per share, through private placement concurrent with the IPO for total proceeds of US$50 million (RMB345.0 million). In addition, the underwriters exercised their over-allotment option on June 14, 2019 and June 18, 2019. As a result, the Company newly issued an aggregate of 4,950,000 ADSs, representing 39,600,000 Class A ordinary shares for total proceeds net of underwriting discounts and commissions of US$79.5 million (RMB548.0 million).</w:t>
      </w:r>
    </w:p>
    <w:p>
      <w:pPr>
        <w:spacing w:after="0" w:line="133" w:lineRule="exact"/>
        <w:rPr>
          <w:rFonts w:ascii="Times New Roman" w:cs="Times New Roman" w:eastAsia="Times New Roman" w:hAnsi="Times New Roman"/>
          <w:sz w:val="18"/>
          <w:szCs w:val="18"/>
          <w:b w:val="1"/>
          <w:bCs w:val="1"/>
          <w:color w:val="auto"/>
        </w:rPr>
      </w:pPr>
    </w:p>
    <w:p>
      <w:pPr>
        <w:ind w:left="320" w:right="1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2019, 310,198,928 Class B ordinary shares were converted into Class A ordinary share at the conversion ratio of 1:1. In December 2019, the Company issued 19,753,888 Class A ordinary shares to The Bank of New York Mellon, the depositary of the Company on the vest of share options to the eligible employees.</w:t>
      </w:r>
    </w:p>
    <w:p>
      <w:pPr>
        <w:spacing w:after="0" w:line="124" w:lineRule="exact"/>
        <w:rPr>
          <w:rFonts w:ascii="Times New Roman" w:cs="Times New Roman" w:eastAsia="Times New Roman" w:hAnsi="Times New Roman"/>
          <w:sz w:val="18"/>
          <w:szCs w:val="18"/>
          <w:b w:val="1"/>
          <w:bCs w:val="1"/>
          <w:color w:val="auto"/>
        </w:rPr>
      </w:pPr>
    </w:p>
    <w:p>
      <w:pPr>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9, 2020, the Company issued an aggregate 10,350,000 ADSs through the follow-on offering, representing 82,800,000 Class A ordinary shares (reflecting the full exercise of the over-allotment option by the underwriters to purchase an additional 4,950,000 ADSs) at a public offering price of US$42.00 per ADS for a total for total proceeds net of underwriting discounts and commissions of US$419.5 million (RMB2,888.5 million).</w:t>
      </w:r>
    </w:p>
    <w:p>
      <w:pPr>
        <w:spacing w:after="0" w:line="12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2020, 1,132,908,520 Class B ordinary shares were converted into Class A ordinary share at the conversion ratio of 1:1.</w:t>
      </w:r>
    </w:p>
    <w:p>
      <w:pPr>
        <w:spacing w:after="0" w:line="164" w:lineRule="exact"/>
        <w:rPr>
          <w:rFonts w:ascii="Times New Roman" w:cs="Times New Roman" w:eastAsia="Times New Roman" w:hAnsi="Times New Roman"/>
          <w:sz w:val="18"/>
          <w:szCs w:val="18"/>
          <w:b w:val="1"/>
          <w:bCs w:val="1"/>
          <w:color w:val="auto"/>
        </w:rPr>
      </w:pPr>
    </w:p>
    <w:p>
      <w:pPr>
        <w:ind w:left="320" w:right="5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2021, the Company issued 70,061,136 Class A ordinary shares for the vested options and restricted share units to the eligible employees.</w:t>
      </w:r>
    </w:p>
    <w:p>
      <w:pPr>
        <w:spacing w:after="0" w:line="110" w:lineRule="exact"/>
        <w:rPr>
          <w:rFonts w:ascii="Times New Roman" w:cs="Times New Roman" w:eastAsia="Times New Roman" w:hAnsi="Times New Roman"/>
          <w:sz w:val="18"/>
          <w:szCs w:val="18"/>
          <w:b w:val="1"/>
          <w:bCs w:val="1"/>
          <w:color w:val="auto"/>
        </w:rPr>
      </w:pPr>
    </w:p>
    <w:p>
      <w:pPr>
        <w:ind w:left="320" w:right="4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2022, the Company issued 76,220,808 Class A ordinary share following the restructuring of the Notes and 53,123,768 Class A ordinary shares for the vested options and restricted share units to the eligible employees, respectively.</w:t>
      </w:r>
    </w:p>
    <w:p>
      <w:pPr>
        <w:spacing w:after="0" w:line="110" w:lineRule="exact"/>
        <w:rPr>
          <w:rFonts w:ascii="Times New Roman" w:cs="Times New Roman" w:eastAsia="Times New Roman" w:hAnsi="Times New Roman"/>
          <w:sz w:val="18"/>
          <w:szCs w:val="18"/>
          <w:b w:val="1"/>
          <w:bCs w:val="1"/>
          <w:color w:val="auto"/>
        </w:rPr>
      </w:pPr>
    </w:p>
    <w:p>
      <w:pPr>
        <w:ind w:left="320" w:right="5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Company issued 13,478,384 Class A ordinary shares for the vested options and restricted share units to the eligible employees.</w:t>
      </w:r>
    </w:p>
    <w:p>
      <w:pPr>
        <w:spacing w:after="0" w:line="110" w:lineRule="exact"/>
        <w:rPr>
          <w:rFonts w:ascii="Times New Roman" w:cs="Times New Roman" w:eastAsia="Times New Roman" w:hAnsi="Times New Roman"/>
          <w:sz w:val="18"/>
          <w:szCs w:val="18"/>
          <w:b w:val="1"/>
          <w:bCs w:val="1"/>
          <w:color w:val="auto"/>
        </w:rPr>
      </w:pPr>
    </w:p>
    <w:p>
      <w:pPr>
        <w:ind w:left="32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ordinary shares as of December 31, 2023 consisted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w:t>
      </w:r>
    </w:p>
    <w:p>
      <w:pPr>
        <w:sectPr>
          <w:pgSz w:w="11900" w:h="16838" w:orient="portrait"/>
          <w:cols w:equalWidth="0" w:num="1">
            <w:col w:w="9900"/>
          </w:cols>
          <w:pgMar w:left="980" w:top="505" w:right="10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29348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PREFERRED SHARES</w:t>
      </w:r>
    </w:p>
    <w:p>
      <w:pPr>
        <w:spacing w:after="0" w:line="139" w:lineRule="exact"/>
        <w:rPr>
          <w:rFonts w:ascii="Times New Roman" w:cs="Times New Roman" w:eastAsia="Times New Roman" w:hAnsi="Times New Roman"/>
          <w:sz w:val="18"/>
          <w:szCs w:val="18"/>
          <w:b w:val="1"/>
          <w:bCs w:val="1"/>
          <w:color w:val="auto"/>
        </w:rPr>
      </w:pPr>
    </w:p>
    <w:p>
      <w:pPr>
        <w:ind w:left="320"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2021, the Company entered into an investment agreement (the “Investment Agreement”) with an affiliate of Centurium Capital, as the lead investor, and Joy Capital to raise funds through a private placement, totaling US$240 million from Centurium Capital and US$10 million from Joy Capital, of convertible senior preferred shares of the Company (“Senior Preferred Share(s)”) (collectively, the “Transactions”).</w:t>
      </w:r>
    </w:p>
    <w:p>
      <w:pPr>
        <w:spacing w:after="0" w:line="114" w:lineRule="exact"/>
        <w:rPr>
          <w:rFonts w:ascii="Times New Roman" w:cs="Times New Roman" w:eastAsia="Times New Roman" w:hAnsi="Times New Roman"/>
          <w:sz w:val="18"/>
          <w:szCs w:val="18"/>
          <w:b w:val="1"/>
          <w:bCs w:val="1"/>
          <w:color w:val="auto"/>
        </w:rPr>
      </w:pPr>
    </w:p>
    <w:p>
      <w:pPr>
        <w:ind w:left="320" w:right="5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2021, the Company issued 295,384,615 Senior Preferred Shares to the affiliate of Centurium Capital with the proceeds of US$240 million (RMB1,527.4 million) at a subscription price equal to US$0.8125 per share under the Investment Agreement.</w:t>
      </w:r>
    </w:p>
    <w:p>
      <w:pPr>
        <w:spacing w:after="0" w:line="111" w:lineRule="exact"/>
        <w:rPr>
          <w:rFonts w:ascii="Times New Roman" w:cs="Times New Roman" w:eastAsia="Times New Roman" w:hAnsi="Times New Roman"/>
          <w:sz w:val="18"/>
          <w:szCs w:val="18"/>
          <w:b w:val="1"/>
          <w:bCs w:val="1"/>
          <w:color w:val="auto"/>
        </w:rPr>
      </w:pPr>
    </w:p>
    <w:p>
      <w:pPr>
        <w:ind w:left="320" w:right="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2022, the Company issued 12,307,692 Senior Preferred Shares to Joy Capital with the proceeds of US$10 million (RMB63.7 million) at a subscription price equal to US$0.8125 per share under the Investment Agreement.</w:t>
      </w:r>
    </w:p>
    <w:p>
      <w:pPr>
        <w:spacing w:after="0" w:line="83" w:lineRule="exact"/>
        <w:rPr>
          <w:rFonts w:ascii="Times New Roman" w:cs="Times New Roman" w:eastAsia="Times New Roman" w:hAnsi="Times New Roman"/>
          <w:sz w:val="18"/>
          <w:szCs w:val="18"/>
          <w:b w:val="1"/>
          <w:bCs w:val="1"/>
          <w:color w:val="auto"/>
        </w:rPr>
      </w:pPr>
    </w:p>
    <w:p>
      <w:pPr>
        <w:ind w:left="320" w:right="3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Senior Preferred Shares are with rights, preferences and privileges pursuant to the certificate of designation, some of which are summarized below:</w:t>
      </w:r>
    </w:p>
    <w:p>
      <w:pPr>
        <w:spacing w:after="0" w:line="9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54" w:lineRule="exact"/>
        <w:rPr>
          <w:rFonts w:ascii="Times New Roman" w:cs="Times New Roman" w:eastAsia="Times New Roman" w:hAnsi="Times New Roman"/>
          <w:sz w:val="18"/>
          <w:szCs w:val="18"/>
          <w:b w:val="1"/>
          <w:bCs w:val="1"/>
          <w:color w:val="auto"/>
        </w:rPr>
      </w:pPr>
    </w:p>
    <w:p>
      <w:pPr>
        <w:ind w:lef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the event of any Liquidation (as defined below), the holders of Senior Preferred Shares then issued and outstanding shall be entitled to be paid out of the assets of the Company available for distribution to its shareholders before any distribution or payment out of the assets of the Company shall be made to the holders of junior securities of the Company including ordinary shares by reason of their ownership thereof, an amount in cash equal to the greater of (a) 100% of the original aggregate subscription price of the Senior Preferred Shares held by such holders, plus any declared but unpaid dividends on all such Senior Preferred Shares and (b) the aggregate value that such holders of Senior Preferred Shares would have received had all holders of Senior Preferred Shares, immediately prior to such liquidation, converted all Senior Preferred Shares then issued and outstanding (together with any declared but unpaid dividends thereon) into the Class A ordinary shares or the ADSs (the “Conversion Securities”) at the applicable conversion price.</w:t>
      </w:r>
    </w:p>
    <w:p>
      <w:pPr>
        <w:spacing w:after="0" w:line="95" w:lineRule="exact"/>
        <w:rPr>
          <w:rFonts w:ascii="Times New Roman" w:cs="Times New Roman" w:eastAsia="Times New Roman" w:hAnsi="Times New Roman"/>
          <w:sz w:val="18"/>
          <w:szCs w:val="18"/>
          <w:b w:val="1"/>
          <w:bCs w:val="1"/>
          <w:color w:val="auto"/>
        </w:rPr>
      </w:pPr>
    </w:p>
    <w:p>
      <w:pPr>
        <w:ind w:left="320" w:right="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“Liquidation” is defined as the liquidation, dissolution or winding up of the Company, whether voluntary or involuntary. If there shall occur any reclassification, statutory exchange, reorganization, recapitalization, consolidation or merger involving the Company with or into another person (excluding a merger solely for the purpose of changing the Company’s jurisdiction of incorporation), then any distribution following such event(s) with respect to the Senior Preferred Shares shall be subject to Liquidation preference described in the preceding paragraph.</w:t>
      </w:r>
    </w:p>
    <w:p>
      <w:pPr>
        <w:spacing w:after="0" w:line="115"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Ranking</w:t>
      </w:r>
    </w:p>
    <w:p>
      <w:pPr>
        <w:spacing w:after="0" w:line="154" w:lineRule="exact"/>
        <w:rPr>
          <w:rFonts w:ascii="Times New Roman" w:cs="Times New Roman" w:eastAsia="Times New Roman" w:hAnsi="Times New Roman"/>
          <w:sz w:val="18"/>
          <w:szCs w:val="18"/>
          <w:b w:val="1"/>
          <w:bCs w:val="1"/>
          <w:color w:val="auto"/>
        </w:rPr>
      </w:pPr>
    </w:p>
    <w:p>
      <w:pPr>
        <w:ind w:left="320" w:right="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payment of dividends or distribution of assets upon any Liquidation, all the Senior Preferred Shares shall rank senior to all ordinary shares in issue from time to time.</w:t>
      </w:r>
    </w:p>
    <w:p>
      <w:pPr>
        <w:spacing w:after="0" w:line="7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Voting Rights</w:t>
      </w:r>
    </w:p>
    <w:p>
      <w:pPr>
        <w:spacing w:after="0" w:line="154" w:lineRule="exact"/>
        <w:rPr>
          <w:rFonts w:ascii="Times New Roman" w:cs="Times New Roman" w:eastAsia="Times New Roman" w:hAnsi="Times New Roman"/>
          <w:sz w:val="18"/>
          <w:szCs w:val="18"/>
          <w:b w:val="1"/>
          <w:bCs w:val="1"/>
          <w:color w:val="auto"/>
        </w:rPr>
      </w:pPr>
    </w:p>
    <w:p>
      <w:pPr>
        <w:ind w:left="32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issued and outstanding Senior Preferred Shares shall be entitled to vote with holders of issued and outstanding Class A ordinary shares, voting together as a single class, with respect to any and all matters presented to the shareholders, and such holder shall be entitled to a number of votes equal to the number of Class A ordinary shares into which such holder’s Senior Preferred Shares are convertible.</w:t>
      </w:r>
    </w:p>
    <w:p>
      <w:pPr>
        <w:spacing w:after="0" w:line="110"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Conversion Rights</w:t>
      </w:r>
    </w:p>
    <w:p>
      <w:pPr>
        <w:spacing w:after="0" w:line="141" w:lineRule="exact"/>
        <w:rPr>
          <w:rFonts w:ascii="Times New Roman" w:cs="Times New Roman" w:eastAsia="Times New Roman" w:hAnsi="Times New Roman"/>
          <w:sz w:val="18"/>
          <w:szCs w:val="18"/>
          <w:b w:val="1"/>
          <w:bCs w:val="1"/>
          <w:color w:val="auto"/>
        </w:rPr>
      </w:pPr>
    </w:p>
    <w:p>
      <w:pPr>
        <w:ind w:left="320" w:right="20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Each Senior Preferred Share is convertible, at the option of its holder at any time after the original issue date, into that number of Conversion Securities determined by dividing (i) the sum of the original issue price, US$0.8125 per Senior Preferred Share, plus any declared but unpaid dividends on each such Senior Preferred Share, by (ii) the conversion price in effect immediately prior to such conversion, which shall initially be the original issue price, US$0.8125 per Senior Preferred Share, and is subject to adjustment from time to time based on a variety of events pursuant to the Certificate of Designation including any subsequent equity financing, regulatory event, etc. The initial conversion ratio of Senior Preferred Shares to Convertible Securities shall be 1:1.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5820" w:hanging="313"/>
        <w:spacing w:after="0" w:line="521" w:lineRule="auto"/>
        <w:tabs>
          <w:tab w:leader="none" w:pos="311"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SENIOR PREFERRED SHARES (CONTINUED) </w:t>
      </w:r>
      <w:r>
        <w:rPr>
          <w:rFonts w:ascii="Times New Roman" w:cs="Times New Roman" w:eastAsia="Times New Roman" w:hAnsi="Times New Roman"/>
          <w:sz w:val="17"/>
          <w:szCs w:val="17"/>
          <w:b w:val="1"/>
          <w:bCs w:val="1"/>
          <w:i w:val="1"/>
          <w:iCs w:val="1"/>
          <w:color w:val="auto"/>
        </w:rPr>
        <w:t>Accounting of Senior Preferred Shares</w:t>
      </w:r>
    </w:p>
    <w:p>
      <w:pPr>
        <w:spacing w:after="0" w:line="1" w:lineRule="exact"/>
        <w:rPr>
          <w:rFonts w:ascii="Times New Roman" w:cs="Times New Roman" w:eastAsia="Times New Roman" w:hAnsi="Times New Roman"/>
          <w:sz w:val="17"/>
          <w:szCs w:val="17"/>
          <w:b w:val="1"/>
          <w:bCs w:val="1"/>
          <w:color w:val="auto"/>
        </w:rPr>
      </w:pPr>
    </w:p>
    <w:p>
      <w:pPr>
        <w:ind w:left="320" w:right="8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classified the Senior Preferred Shares as mezzanine equity in the consolidated balance sheets because the Senior Preferred Shares are considered redeemable in the event of any Liquidation, including certain liquidation events outside of the Company’s control (the “Involuntary Liquidation Event”) since the holders of Senior Preferred Shares shall be entitled to be paid out of an amount in cash according to liquidation preference. Therefore, the Group classifies the Senior Preferred Shares as mezzanine equity outside of permanent equity in accordance with SEC’s Accounting Series Release 268, Presentation in Financial Statements of Redeemable Preferred Stocks (ASR 268) and ASC 480 “Distinguishing Liabilities from Equity”. The Group early adopted ASU No. 2020-06 to eliminate the analysis requirement of separation of beneficial conversion and cash conversion features from convertible instruments. The mezzanine equity was initially measured based on its fair value at date of issue.</w:t>
      </w:r>
    </w:p>
    <w:p>
      <w:pPr>
        <w:spacing w:after="0" w:line="190" w:lineRule="exact"/>
        <w:rPr>
          <w:rFonts w:ascii="Times New Roman" w:cs="Times New Roman" w:eastAsia="Times New Roman" w:hAnsi="Times New Roman"/>
          <w:sz w:val="17"/>
          <w:szCs w:val="17"/>
          <w:b w:val="1"/>
          <w:bCs w:val="1"/>
          <w:color w:val="auto"/>
        </w:rPr>
      </w:pPr>
    </w:p>
    <w:p>
      <w:pPr>
        <w:ind w:left="320" w:right="6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each reporting date, the Group evaluates the probability of occurrence of any Involuntary Liquidation Event that entitles the holders of the Senior Preferred Shares to be paid an amount in cash (the “redemption value”) subject to liquidation preference. If it is probable that an Involuntary Liquidation Event will occur and Senior Preferred Shares will become redeemable, the Group recognizes changes in carrying value immediately as the Involuntary Liquidation Event occurs and adjusts the carrying value of the instrument to equal the redemption value at the end of each reporting period. Increases or decreases in the carrying amount of Senior Preferred Shares shall be affected by charges against retained earnings, or additional paid-in capital in the absence of retained earnings. Accordingly, if the Senior Preferred Shares are not currently redeemable and it is not probable that the Senior Preferred Shares will become redeemable, subsequent adjustment of the amount presented in temporary equity is unnecessary.</w:t>
      </w:r>
    </w:p>
    <w:p>
      <w:pPr>
        <w:spacing w:after="0" w:line="190" w:lineRule="exact"/>
        <w:rPr>
          <w:rFonts w:ascii="Times New Roman" w:cs="Times New Roman" w:eastAsia="Times New Roman" w:hAnsi="Times New Roman"/>
          <w:sz w:val="17"/>
          <w:szCs w:val="17"/>
          <w:b w:val="1"/>
          <w:bCs w:val="1"/>
          <w:color w:val="auto"/>
        </w:rPr>
      </w:pPr>
    </w:p>
    <w:p>
      <w:pPr>
        <w:ind w:left="32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2023, the Company evaluated that the Senior Preferred Shares were not currently redeemable and it is not probable that the Senior Preferred Shares would become redeemable as there was no noted indicator of any Involuntary Liquidation Event, and recorded the Senior Preferred Shares as carrying value accordingly.</w:t>
      </w:r>
    </w:p>
    <w:p>
      <w:pPr>
        <w:spacing w:after="0" w:line="175" w:lineRule="exact"/>
        <w:rPr>
          <w:rFonts w:ascii="Times New Roman" w:cs="Times New Roman" w:eastAsia="Times New Roman" w:hAnsi="Times New Roman"/>
          <w:sz w:val="17"/>
          <w:szCs w:val="17"/>
          <w:b w:val="1"/>
          <w:bCs w:val="1"/>
          <w:color w:val="auto"/>
        </w:rPr>
      </w:pPr>
    </w:p>
    <w:p>
      <w:pPr>
        <w:ind w:left="320" w:hanging="313"/>
        <w:spacing w:after="0"/>
        <w:tabs>
          <w:tab w:leader="none" w:pos="3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139" w:lineRule="exact"/>
        <w:rPr>
          <w:rFonts w:ascii="Times New Roman" w:cs="Times New Roman" w:eastAsia="Times New Roman" w:hAnsi="Times New Roman"/>
          <w:sz w:val="18"/>
          <w:szCs w:val="18"/>
          <w:b w:val="1"/>
          <w:bCs w:val="1"/>
          <w:color w:val="auto"/>
        </w:rPr>
      </w:pPr>
    </w:p>
    <w:p>
      <w:pPr>
        <w:ind w:left="320"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2021, 2022 and 2023, total share-based compensation expenses recognized were RMB302.7 million, RMB398.0 million and RMB239.5 million (US$33.7 million), respectively. Share-based compensation expenses were allocated in operating expenses by function as follows:</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60" w:type="dxa"/>
            <w:vAlign w:val="bottom"/>
          </w:tcPr>
          <w:p>
            <w:pPr>
              <w:spacing w:after="0"/>
              <w:rPr>
                <w:sz w:val="13"/>
                <w:szCs w:val="13"/>
                <w:color w:val="auto"/>
              </w:rPr>
            </w:pPr>
          </w:p>
        </w:tc>
      </w:tr>
      <w:tr>
        <w:trPr>
          <w:trHeight w:val="170"/>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r>
      <w:tr>
        <w:trPr>
          <w:trHeight w:val="139"/>
        </w:trPr>
        <w:tc>
          <w:tcPr>
            <w:tcW w:w="596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900" w:type="dxa"/>
            <w:vAlign w:val="bottom"/>
            <w:tcBorders>
              <w:bottom w:val="single" w:sz="8" w:color="auto"/>
            </w:tcBorders>
            <w:gridSpan w:val="3"/>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r>
      <w:tr>
        <w:trPr>
          <w:trHeight w:val="139"/>
        </w:trPr>
        <w:tc>
          <w:tcPr>
            <w:tcW w:w="5960" w:type="dxa"/>
            <w:vAlign w:val="bottom"/>
          </w:tcPr>
          <w:p>
            <w:pPr>
              <w:spacing w:after="0"/>
              <w:rPr>
                <w:sz w:val="12"/>
                <w:szCs w:val="12"/>
                <w:color w:val="auto"/>
              </w:rPr>
            </w:pPr>
          </w:p>
        </w:tc>
        <w:tc>
          <w:tcPr>
            <w:tcW w:w="720" w:type="dxa"/>
            <w:vAlign w:val="bottom"/>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00" w:type="dxa"/>
            <w:vAlign w:val="bottom"/>
          </w:tcPr>
          <w:p>
            <w:pPr>
              <w:jc w:val="right"/>
              <w:ind w:right="102"/>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00" w:type="dxa"/>
            <w:vAlign w:val="bottom"/>
            <w:gridSpan w:val="3"/>
          </w:tcPr>
          <w:p>
            <w:pPr>
              <w:jc w:val="right"/>
              <w:ind w:right="3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560" w:type="dxa"/>
            <w:vAlign w:val="bottom"/>
          </w:tcPr>
          <w:p>
            <w:pPr>
              <w:jc w:val="right"/>
              <w:ind w:right="9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12"/>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293,549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228,084</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32,125</w:t>
            </w:r>
          </w:p>
        </w:tc>
      </w:tr>
      <w:tr>
        <w:trPr>
          <w:trHeight w:val="205"/>
        </w:trPr>
        <w:tc>
          <w:tcPr>
            <w:tcW w:w="59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302,734</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398,008</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239,506</w:t>
            </w: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96"/>
              </w:rPr>
              <w:t>33,734</w:t>
            </w:r>
          </w:p>
        </w:tc>
      </w:tr>
    </w:tbl>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221" w:lineRule="exact"/>
        <w:rPr>
          <w:sz w:val="20"/>
          <w:szCs w:val="20"/>
          <w:color w:val="auto"/>
        </w:rPr>
      </w:pPr>
    </w:p>
    <w:p>
      <w:pPr>
        <w:ind w:left="320" w:right="80"/>
        <w:spacing w:after="0" w:line="251" w:lineRule="auto"/>
        <w:rPr>
          <w:sz w:val="20"/>
          <w:szCs w:val="20"/>
          <w:color w:val="auto"/>
        </w:rPr>
      </w:pPr>
      <w:r>
        <w:rPr>
          <w:rFonts w:ascii="Times New Roman" w:cs="Times New Roman" w:eastAsia="Times New Roman" w:hAnsi="Times New Roman"/>
          <w:sz w:val="18"/>
          <w:szCs w:val="18"/>
          <w:color w:val="auto"/>
        </w:rPr>
        <w:t>On January 18, 2019, the shareholders and Board of Directors of the Company approved the 2019 share option plan (the “2019 Plan”), which is administrated by the Board of Directors and has a term of 10 years from the date of adoption. Under the 2019 Plan, the Company issued approximately 79,015,500 options to purchase the Ordinary Shares of the Company, after the 1-to-500 share split, to its eligible employees, officers, directors or any other individual as determined by the board of directors. The purpose of the 2019 Plan is to attract and retain exceptionally qualified individuals and to motivate them to exert their best efforts on behalf of the Group by providing incentives through granting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(CONTINUED)</w:t>
      </w:r>
    </w:p>
    <w:p>
      <w:pPr>
        <w:spacing w:after="0" w:line="215"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2019 Equity Incentive Plan (continued)</w:t>
      </w:r>
    </w:p>
    <w:p>
      <w:pPr>
        <w:spacing w:after="0" w:line="221" w:lineRule="exact"/>
        <w:rPr>
          <w:rFonts w:ascii="Times New Roman" w:cs="Times New Roman" w:eastAsia="Times New Roman" w:hAnsi="Times New Roman"/>
          <w:sz w:val="18"/>
          <w:szCs w:val="18"/>
          <w:b w:val="1"/>
          <w:bCs w:val="1"/>
          <w:color w:val="auto"/>
        </w:rPr>
      </w:pPr>
    </w:p>
    <w:p>
      <w:pPr>
        <w:ind w:left="3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options granted under the 2019 Plan have a contractual term of 10 years. The options granted to the employees are to be vested over four years. For options granted in 2019, the vesting schedule of four years is subject to four equal annual rate of 25%, with the first 25% of the share options vesting on December 31, 2019, which is the first vesting date and 25% vesting on each anniversary day from the first vesting date thereafter over the next three years. For options granted in 2020 and 2021, the vesting schedule of four years is at the annual rate of 40%, 40%, 10% and 10%. The first 40% of share options shall vest on the first vesting date, which is December 31, 2020 and December 31, 2021, respectively, for options granted in 2020 and 2021, and accordingly, the remaining 40%, 10% and 10% shall vest on each anniversary day from the respective first vesting date.</w:t>
      </w:r>
    </w:p>
    <w:p>
      <w:pPr>
        <w:spacing w:after="0" w:line="18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employee equity award activity under the 2019 Plan is stated below:</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52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72,529,960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25,917,240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(38,418,992)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60,028,208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(2,370,736)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60,453,072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(32,008,561)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88,097</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28,444,511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(24,108,314)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(243,016)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4,093,181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Fully vested and expected to vest as of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66,695,568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3,935,132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2021 was US$1.07 per share.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options granted in the years ended December 31, 2022 and 2023.</w:t>
      </w:r>
    </w:p>
    <w:p>
      <w:pPr>
        <w:spacing w:after="0" w:line="198" w:lineRule="exact"/>
        <w:rPr>
          <w:sz w:val="20"/>
          <w:szCs w:val="20"/>
          <w:color w:val="auto"/>
        </w:rPr>
      </w:pPr>
    </w:p>
    <w:p>
      <w:pPr>
        <w:ind w:left="320" w:right="120"/>
        <w:spacing w:after="0" w:line="274" w:lineRule="auto"/>
        <w:rPr>
          <w:sz w:val="20"/>
          <w:szCs w:val="20"/>
          <w:color w:val="auto"/>
        </w:rPr>
      </w:pPr>
      <w:r>
        <w:rPr>
          <w:rFonts w:ascii="Times New Roman" w:cs="Times New Roman" w:eastAsia="Times New Roman" w:hAnsi="Times New Roman"/>
          <w:sz w:val="18"/>
          <w:szCs w:val="18"/>
          <w:color w:val="auto"/>
        </w:rPr>
        <w:t>As of December 31, 2023, there was US$42 thousands of unrecognized share-based compensation expense for share options granted, which are expected to be recognized over a weighted average period of 1.0 years.</w:t>
      </w:r>
    </w:p>
    <w:p>
      <w:pPr>
        <w:spacing w:after="0" w:line="163" w:lineRule="exact"/>
        <w:rPr>
          <w:sz w:val="20"/>
          <w:szCs w:val="20"/>
          <w:color w:val="auto"/>
        </w:rPr>
      </w:pPr>
    </w:p>
    <w:p>
      <w:pPr>
        <w:ind w:left="320" w:right="40"/>
        <w:spacing w:after="0" w:line="259" w:lineRule="auto"/>
        <w:rPr>
          <w:sz w:val="20"/>
          <w:szCs w:val="20"/>
          <w:color w:val="auto"/>
        </w:rPr>
      </w:pPr>
      <w:r>
        <w:rPr>
          <w:rFonts w:ascii="Times New Roman" w:cs="Times New Roman" w:eastAsia="Times New Roman" w:hAnsi="Times New Roman"/>
          <w:sz w:val="18"/>
          <w:szCs w:val="18"/>
          <w:color w:val="auto"/>
        </w:rPr>
        <w:t>The aggregated intrinsic value for share options exercised during the year ended December 31, 2023 and for share options fully vested and expected to vest and exercisable as of December 31, 2023 was calculated based on the closing price of the Company’s Ordinary Shares on the last trading day in 2023 of US$27.28 per ADS (equivalent to US$3.41 per Ordinary Share).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(CONTINUED)</w:t>
      </w:r>
    </w:p>
    <w:p>
      <w:pPr>
        <w:spacing w:after="0" w:line="215"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1" w:lineRule="exact"/>
        <w:rPr>
          <w:rFonts w:ascii="Times New Roman" w:cs="Times New Roman" w:eastAsia="Times New Roman" w:hAnsi="Times New Roman"/>
          <w:sz w:val="18"/>
          <w:szCs w:val="18"/>
          <w:b w:val="1"/>
          <w:bCs w:val="1"/>
          <w:color w:val="auto"/>
        </w:rPr>
      </w:pPr>
    </w:p>
    <w:p>
      <w:pPr>
        <w:ind w:left="320" w:right="1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January 25, 2021, the Company announced the adoption of a 2021 Equity Incentive Plan (the “2021 Plan”) to retain, attract and motivate employees and directors by providing them with equity incentives. The 2021 Plan has a ten-year term, and has a maximum number of 222,769,232 Class A ordinary shares, represented by 27,846,154 American Depositary Shares, available for issuance pursuant to all awards under the 2021 Plan. The Company may grant options, restricted shares, restricted share units and other form of awards pursuant to the 2021 Plan. Substantially all the RSUs granted under the 2021 Plan are subjected to both performance condition and service condition. Before 2023, the RSUs granted were mainly vested within one year. Starting from 2023, the RSUs granted to directors and employees are mostly vested in four years. The vesting schedule of four years are 15%- 25%- 25%- 35% or</w:t>
      </w:r>
    </w:p>
    <w:p>
      <w:pPr>
        <w:spacing w:after="0" w:line="3" w:lineRule="exact"/>
        <w:rPr>
          <w:rFonts w:ascii="Times New Roman" w:cs="Times New Roman" w:eastAsia="Times New Roman" w:hAnsi="Times New Roman"/>
          <w:sz w:val="18"/>
          <w:szCs w:val="18"/>
          <w:b w:val="1"/>
          <w:bCs w:val="1"/>
          <w:color w:val="auto"/>
        </w:rPr>
      </w:pPr>
    </w:p>
    <w:p>
      <w:pPr>
        <w:ind w:left="320" w:right="20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25%-25%-25%-25%. Each tranche of the RSUs granted has a separate grant date, because the board of directors has discretion in determining and approving the performance objectives, a mutual understanding of the terms and conditions does not exist until the Company’s objectives are approved and communicated with the employees. Compensation expenses are recognized in a straight-line basis from the grant date of each tranche to the vesting date of such tranche. As of December 31, 2023, 49,494,272 shares have been legally granted but not expensed since the unsatisfaction of accounting grant date.</w:t>
      </w:r>
    </w:p>
    <w:p>
      <w:pPr>
        <w:spacing w:after="0" w:line="18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employee equity award activity under the 2021 Plan from accounting perspective is stated below:</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5"/>
        </w:trPr>
        <w:tc>
          <w:tcPr>
            <w:tcW w:w="6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Unvested as of December 31, 2020</w:t>
            </w: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40,842,760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(31,943,824)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(6,368,184)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2,530,752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45,722,392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(43,329,376)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(739,472)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4,184,296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10,551,248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(13,239,120)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1,378,632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0" w:right="200"/>
        <w:spacing w:after="0" w:line="274" w:lineRule="auto"/>
        <w:rPr>
          <w:sz w:val="20"/>
          <w:szCs w:val="20"/>
          <w:color w:val="auto"/>
        </w:rPr>
      </w:pPr>
      <w:r>
        <w:rPr>
          <w:rFonts w:ascii="Times New Roman" w:cs="Times New Roman" w:eastAsia="Times New Roman" w:hAnsi="Times New Roman"/>
          <w:sz w:val="18"/>
          <w:szCs w:val="18"/>
          <w:color w:val="auto"/>
        </w:rPr>
        <w:t>The weighted average grant-date fair value of the restricted share units granted during the years ended December 31, 2021, 2022 and 2023 was US$1.09, US$1.26 and US$3.05 per share, respectively.</w:t>
      </w:r>
    </w:p>
    <w:p>
      <w:pPr>
        <w:spacing w:after="0" w:line="163" w:lineRule="exact"/>
        <w:rPr>
          <w:sz w:val="20"/>
          <w:szCs w:val="20"/>
          <w:color w:val="auto"/>
        </w:rPr>
      </w:pPr>
    </w:p>
    <w:p>
      <w:pPr>
        <w:ind w:left="320" w:right="360"/>
        <w:spacing w:after="0" w:line="274" w:lineRule="auto"/>
        <w:rPr>
          <w:sz w:val="20"/>
          <w:szCs w:val="20"/>
          <w:color w:val="auto"/>
        </w:rPr>
      </w:pPr>
      <w:r>
        <w:rPr>
          <w:rFonts w:ascii="Times New Roman" w:cs="Times New Roman" w:eastAsia="Times New Roman" w:hAnsi="Times New Roman"/>
          <w:sz w:val="18"/>
          <w:szCs w:val="18"/>
          <w:color w:val="auto"/>
        </w:rPr>
        <w:t>As of December 31, 2023, there was US$1.4 million of unrecognized share-based compensation expense related to restricted share units, which are expected to be recognized over a weighted average period of 0.49 years.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employee share options</w:t>
      </w:r>
    </w:p>
    <w:p>
      <w:pPr>
        <w:spacing w:after="0" w:line="221"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suboptimal early exercise factor. For expected volatilities, the Company has made reference to historical volatilities of several comparable companies. The suboptimal early exercise factor was estimated based on the Company’s expectation of exercise behavior of the grantees.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appraiser.</w:t>
      </w:r>
    </w:p>
    <w:p>
      <w:pPr>
        <w:sectPr>
          <w:pgSz w:w="11900" w:h="16838" w:orient="portrait"/>
          <w:cols w:equalWidth="0" w:num="1">
            <w:col w:w="9920"/>
          </w:cols>
          <w:pgMar w:left="980" w:top="505"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29348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(CONTINUED)</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assumptions used to estimate the fair value of the share options granted to employees were as follows: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518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5"/>
        </w:trPr>
        <w:tc>
          <w:tcPr>
            <w:tcW w:w="5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Risk-free interest rate</w:t>
            </w:r>
          </w:p>
        </w:tc>
        <w:tc>
          <w:tcPr>
            <w:tcW w:w="29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9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74.49 %</w:t>
            </w: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9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post-vesting forfeiture rate</w:t>
            </w:r>
          </w:p>
        </w:tc>
        <w:tc>
          <w:tcPr>
            <w:tcW w:w="2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 option</w:t>
            </w:r>
          </w:p>
        </w:tc>
        <w:tc>
          <w:tcPr>
            <w:tcW w:w="29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0"/>
                <w:szCs w:val="20"/>
                <w:color w:val="auto"/>
              </w:rPr>
            </w:pPr>
          </w:p>
        </w:tc>
      </w:tr>
    </w:tbl>
    <w:p>
      <w:pPr>
        <w:spacing w:after="0" w:line="186" w:lineRule="exact"/>
        <w:rPr>
          <w:sz w:val="20"/>
          <w:szCs w:val="20"/>
          <w:color w:val="auto"/>
        </w:rPr>
      </w:pPr>
    </w:p>
    <w:p>
      <w:pPr>
        <w:ind w:left="320" w:hanging="313"/>
        <w:spacing w:after="0"/>
        <w:tabs>
          <w:tab w:leader="none" w:pos="3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15" w:lineRule="exact"/>
        <w:rPr>
          <w:rFonts w:ascii="Times New Roman" w:cs="Times New Roman" w:eastAsia="Times New Roman" w:hAnsi="Times New Roman"/>
          <w:sz w:val="18"/>
          <w:szCs w:val="18"/>
          <w:b w:val="1"/>
          <w:bCs w:val="1"/>
          <w:color w:val="auto"/>
        </w:rPr>
      </w:pPr>
    </w:p>
    <w:p>
      <w:pPr>
        <w:ind w:left="320" w:right="7360"/>
        <w:spacing w:after="0" w:line="49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Enterprise income tax (“EIT”) Cayman Islands</w:t>
      </w:r>
    </w:p>
    <w:p>
      <w:pPr>
        <w:spacing w:after="0" w:line="1" w:lineRule="exact"/>
        <w:rPr>
          <w:rFonts w:ascii="Times New Roman" w:cs="Times New Roman" w:eastAsia="Times New Roman" w:hAnsi="Times New Roman"/>
          <w:sz w:val="18"/>
          <w:szCs w:val="18"/>
          <w:b w:val="1"/>
          <w:bCs w:val="1"/>
          <w:color w:val="auto"/>
        </w:rPr>
      </w:pPr>
    </w:p>
    <w:p>
      <w:pPr>
        <w:ind w:left="32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incorporated in the Cayman Islands and conducts its primary business operations through the subsidiaries and VIE in the PRC. Under the current laws of the Cayman Islands, the Company is not subject to tax on income or capital gain arising in Cayman Islands. Additionally, upon payments of dividends by the Company to its shareholders, no Cayman Islands withholding tax will be imposed.</w:t>
      </w:r>
    </w:p>
    <w:p>
      <w:pPr>
        <w:spacing w:after="0" w:line="17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1" w:lineRule="exact"/>
        <w:rPr>
          <w:rFonts w:ascii="Times New Roman" w:cs="Times New Roman" w:eastAsia="Times New Roman" w:hAnsi="Times New Roman"/>
          <w:sz w:val="18"/>
          <w:szCs w:val="18"/>
          <w:b w:val="1"/>
          <w:bCs w:val="1"/>
          <w:color w:val="auto"/>
        </w:rPr>
      </w:pPr>
    </w:p>
    <w:p>
      <w:pPr>
        <w:ind w:left="320" w:right="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Luckin BVI is incorporated in the British Virgin Islands and conducts its primary business operations through the subsidiaries and VIE in the PRC. Under the current laws of the British Virgin Islands, Luckin BVI is not subject to tax on income or capital gains. Additionally, upon payments of dividends by the Company to its shareholders, no BVI withholding tax will be imposed.</w:t>
      </w:r>
    </w:p>
    <w:p>
      <w:pPr>
        <w:spacing w:after="0" w:line="17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Hong Kong</w:t>
      </w:r>
    </w:p>
    <w:p>
      <w:pPr>
        <w:spacing w:after="0" w:line="221" w:lineRule="exact"/>
        <w:rPr>
          <w:rFonts w:ascii="Times New Roman" w:cs="Times New Roman" w:eastAsia="Times New Roman" w:hAnsi="Times New Roman"/>
          <w:sz w:val="18"/>
          <w:szCs w:val="18"/>
          <w:b w:val="1"/>
          <w:bCs w:val="1"/>
          <w:color w:val="auto"/>
        </w:rPr>
      </w:pPr>
    </w:p>
    <w:p>
      <w:pPr>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Luckin HK, Luckin Roasting and Luckin Roastery are incorporated in Hong Kong and are subject to Hong Kong profits tax rate. Under the two-tiered profits tax rates regime, the first 2.0 million Hong Kong Dollar (“HKD”) of profits of the qualifying group entity will be taxed at 8.25%, and profits above HKD2.0 million will be taxed at 16.5%. Additionally, upon payments of dividends by the Company to its shareholders, no HK withholding tax will be imposed.</w:t>
      </w:r>
    </w:p>
    <w:p>
      <w:pPr>
        <w:spacing w:after="0" w:line="17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Singapore</w:t>
      </w:r>
    </w:p>
    <w:p>
      <w:pPr>
        <w:spacing w:after="0" w:line="221" w:lineRule="exact"/>
        <w:rPr>
          <w:rFonts w:ascii="Times New Roman" w:cs="Times New Roman" w:eastAsia="Times New Roman" w:hAnsi="Times New Roman"/>
          <w:sz w:val="18"/>
          <w:szCs w:val="18"/>
          <w:b w:val="1"/>
          <w:bCs w:val="1"/>
          <w:color w:val="auto"/>
        </w:rPr>
      </w:pPr>
    </w:p>
    <w:p>
      <w:pPr>
        <w:ind w:left="320" w:right="1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laws of Singapore, the Group’s subsidiaries in Singapore are subject to 17% income tax rate on any taxable income accruing in or derived from Singapore, or received in Singapore from outside Singapore.</w:t>
      </w:r>
    </w:p>
    <w:p>
      <w:pPr>
        <w:spacing w:after="0" w:line="15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PRC</w:t>
      </w:r>
    </w:p>
    <w:p>
      <w:pPr>
        <w:spacing w:after="0" w:line="221" w:lineRule="exact"/>
        <w:rPr>
          <w:rFonts w:ascii="Times New Roman" w:cs="Times New Roman" w:eastAsia="Times New Roman" w:hAnsi="Times New Roman"/>
          <w:sz w:val="18"/>
          <w:szCs w:val="18"/>
          <w:b w:val="1"/>
          <w:bCs w:val="1"/>
          <w:color w:val="auto"/>
        </w:rPr>
      </w:pPr>
    </w:p>
    <w:p>
      <w:pPr>
        <w:ind w:left="320"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 Most of the Group’s PRC subsidiaries and consolidated VIE are subject to the statutory income tax rate of 25%.</w:t>
      </w:r>
    </w:p>
    <w:p>
      <w:pPr>
        <w:spacing w:after="0" w:line="177" w:lineRule="exact"/>
        <w:rPr>
          <w:rFonts w:ascii="Times New Roman" w:cs="Times New Roman" w:eastAsia="Times New Roman" w:hAnsi="Times New Roman"/>
          <w:sz w:val="18"/>
          <w:szCs w:val="18"/>
          <w:b w:val="1"/>
          <w:bCs w:val="1"/>
          <w:color w:val="auto"/>
        </w:rPr>
      </w:pPr>
    </w:p>
    <w:p>
      <w:pPr>
        <w:ind w:left="32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EIT Law and its implementation rules permit certain High and New Technologies Enterprises, or HNTEs, to enjoy a reduced 15% enterprise income tax rate subject to these HNTEs meeting certain qualification criteria. Luckin Coffee Information Technology (Xiamen) Ltd, Co. renewed the privilege of HNTEs and enjoyed a reduced 15% enterprise income tax rate from November 2023 to November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7380" w:hanging="313"/>
        <w:spacing w:after="0" w:line="521" w:lineRule="auto"/>
        <w:tabs>
          <w:tab w:leader="none" w:pos="308"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(CONTINUED) </w:t>
      </w:r>
      <w:r>
        <w:rPr>
          <w:rFonts w:ascii="Times New Roman" w:cs="Times New Roman" w:eastAsia="Times New Roman" w:hAnsi="Times New Roman"/>
          <w:sz w:val="17"/>
          <w:szCs w:val="17"/>
          <w:b w:val="1"/>
          <w:bCs w:val="1"/>
          <w:i w:val="1"/>
          <w:iCs w:val="1"/>
          <w:color w:val="auto"/>
        </w:rPr>
        <w:t>PRC (continued)</w:t>
      </w:r>
    </w:p>
    <w:p>
      <w:pPr>
        <w:spacing w:after="0" w:line="1" w:lineRule="exact"/>
        <w:rPr>
          <w:rFonts w:ascii="Times New Roman" w:cs="Times New Roman" w:eastAsia="Times New Roman" w:hAnsi="Times New Roman"/>
          <w:sz w:val="17"/>
          <w:szCs w:val="17"/>
          <w:b w:val="1"/>
          <w:bCs w:val="1"/>
          <w:color w:val="auto"/>
        </w:rPr>
      </w:pPr>
    </w:p>
    <w:p>
      <w:pPr>
        <w:ind w:left="320" w:right="4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From January 1, 2020 to December 31, 2024, enterprises registered in the Hainan Free Trade Port that are engaged in encouraged industries and are substantially in operation will be subject to a reduced 15% enterprise income tax rate. Luckin Trading (Hainan) Ltd, Co. and Luckin Coffee (Haikou) Ltd, Co. were qualified as such enterprises and enjoyed 15% preferential income tax rate.</w:t>
      </w:r>
    </w:p>
    <w:p>
      <w:pPr>
        <w:spacing w:after="0" w:line="177" w:lineRule="exact"/>
        <w:rPr>
          <w:rFonts w:ascii="Times New Roman" w:cs="Times New Roman" w:eastAsia="Times New Roman" w:hAnsi="Times New Roman"/>
          <w:sz w:val="17"/>
          <w:szCs w:val="17"/>
          <w:b w:val="1"/>
          <w:bCs w:val="1"/>
          <w:color w:val="auto"/>
        </w:rPr>
      </w:pPr>
    </w:p>
    <w:p>
      <w:pPr>
        <w:ind w:left="320" w:right="14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From 2019, the State Administration of Taxation provides a preferential corporate income tax rate of 20%, an exemption at 75% or 87.5% for the assessable taxable profits under RMB 1.0 million, an exemption at 50% or 75% for the assessable taxable profits between RMB 1.0 million and RMB 3.0 million, for qualified small enterprises with low profits. The actual preferential corporate income tax rates after considering the exemption were 2.5%, 2.5% and 5% for assessable taxable profits less than RMB 1.0 million, respectively, for the year ended December 31, 2021, 2022 and 2023, while the rates were 10%, 5% and 5% for the assessable taxable profits between RMB1.0 million and RMB3.0 million from 2021 to 2023. The policy of the actual preferential corporate income tax rates of 5% after considering the exemption will continue to be implemented until December 31, 2027.</w:t>
      </w:r>
    </w:p>
    <w:p>
      <w:pPr>
        <w:spacing w:after="0" w:line="186" w:lineRule="exact"/>
        <w:rPr>
          <w:rFonts w:ascii="Times New Roman" w:cs="Times New Roman" w:eastAsia="Times New Roman" w:hAnsi="Times New Roman"/>
          <w:sz w:val="17"/>
          <w:szCs w:val="17"/>
          <w:b w:val="1"/>
          <w:bCs w:val="1"/>
          <w:color w:val="auto"/>
        </w:rPr>
      </w:pPr>
    </w:p>
    <w:p>
      <w:pPr>
        <w:ind w:left="3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8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(loss)/income before tax are as follows:</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tcBorders>
              <w:bottom w:val="single" w:sz="8" w:color="auto"/>
            </w:tcBorders>
          </w:tcPr>
          <w:p>
            <w:pPr>
              <w:jc w:val="right"/>
              <w:ind w:right="37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0" w:type="dxa"/>
            <w:vAlign w:val="bottom"/>
            <w:tcBorders>
              <w:bottom w:val="single" w:sz="8" w:color="auto"/>
            </w:tcBorders>
          </w:tcPr>
          <w:p>
            <w:pPr>
              <w:jc w:val="right"/>
              <w:ind w:right="37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0" w:type="dxa"/>
            <w:vAlign w:val="bottom"/>
          </w:tcPr>
          <w:p>
            <w:pPr>
              <w:jc w:val="right"/>
              <w:ind w:right="35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00" w:type="dxa"/>
            <w:vAlign w:val="bottom"/>
          </w:tcPr>
          <w:p>
            <w:pPr>
              <w:jc w:val="right"/>
              <w:ind w:right="35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20" w:type="dxa"/>
            <w:vAlign w:val="bottom"/>
            <w:gridSpan w:val="3"/>
          </w:tcPr>
          <w:p>
            <w:pPr>
              <w:jc w:val="right"/>
              <w:ind w:right="62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tax</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Non-PRC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617,090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(331,744)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(102,298)</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1,458,494</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3,231,090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(loss)/income before tax</w:t>
            </w: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514,792</w:t>
            </w:r>
          </w:p>
        </w:tc>
        <w:tc>
          <w:tcPr>
            <w:tcW w:w="18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1,126,750</w:t>
            </w:r>
          </w:p>
        </w:tc>
        <w:tc>
          <w:tcPr>
            <w:tcW w:w="1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3,107,359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437,662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expenses/(benefits)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tax expenses/(benefits)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(64,221)</w:t>
            </w: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494,472</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tax (benefits)/expenses</w:t>
            </w:r>
          </w:p>
        </w:tc>
        <w:tc>
          <w:tcPr>
            <w:tcW w:w="12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(63,861)</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638,504</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259,426</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36,539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860"/>
          </w:cols>
          <w:pgMar w:left="980" w:top="505" w:right="10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7380" w:hanging="313"/>
        <w:spacing w:after="0" w:line="521" w:lineRule="auto"/>
        <w:tabs>
          <w:tab w:leader="none" w:pos="308"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(CONTINUED) </w:t>
      </w:r>
      <w:r>
        <w:rPr>
          <w:rFonts w:ascii="Times New Roman" w:cs="Times New Roman" w:eastAsia="Times New Roman" w:hAnsi="Times New Roman"/>
          <w:sz w:val="17"/>
          <w:szCs w:val="17"/>
          <w:b w:val="1"/>
          <w:bCs w:val="1"/>
          <w:i w:val="1"/>
          <w:iCs w:val="1"/>
          <w:color w:val="auto"/>
        </w:rPr>
        <w:t>PRC (continued)</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reconciliation of tax computed by applying the statutory income tax rate of 25% for the years ended December 31, 2021, 2022 and</w:t>
      </w:r>
    </w:p>
    <w:p>
      <w:pPr>
        <w:spacing w:after="0" w:line="3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2023 to income tax expense were as follows: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8"/>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Borders>
              <w:bottom w:val="single" w:sz="8" w:color="auto"/>
            </w:tcBorders>
          </w:tcPr>
          <w:p>
            <w:pPr>
              <w:jc w:val="right"/>
              <w:ind w:right="394"/>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ind w:left="48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jc w:val="right"/>
              <w:ind w:right="354"/>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38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right"/>
              <w:ind w:right="54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514,792</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3,107,359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437,662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computed at PRC statutory</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rate of 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128,698</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281,688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776,840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deduction for R&amp;D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share-based compensation expenses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58,581</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80,440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and non-taxable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writeoff related to closure entities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tax loss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rate changes on deferred tax</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uncertain tax benefits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Change of valuation allowance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60,352</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220,774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(158,362)</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Effect of International tax rates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(155,242)</w:t>
            </w: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Prior-year tax filing difference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11,476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(benefits)/expenses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(63,861)</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638,504</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259,426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36,539</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5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deferred taxes were as follows: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24"/>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right="5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40" w:type="dxa"/>
            <w:vAlign w:val="bottom"/>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welfare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loss of long-lived assets and investments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losses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(1,335,125)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(442,669)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7420" w:hanging="313"/>
        <w:spacing w:after="0" w:line="521" w:lineRule="auto"/>
        <w:tabs>
          <w:tab w:leader="none" w:pos="308"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(CONTINUED) </w:t>
      </w:r>
      <w:r>
        <w:rPr>
          <w:rFonts w:ascii="Times New Roman" w:cs="Times New Roman" w:eastAsia="Times New Roman" w:hAnsi="Times New Roman"/>
          <w:sz w:val="17"/>
          <w:szCs w:val="17"/>
          <w:b w:val="1"/>
          <w:bCs w:val="1"/>
          <w:i w:val="1"/>
          <w:iCs w:val="1"/>
          <w:color w:val="auto"/>
        </w:rPr>
        <w:t>Deferred Taxes (Continued)</w:t>
      </w:r>
    </w:p>
    <w:p>
      <w:pPr>
        <w:spacing w:after="0" w:line="1" w:lineRule="exact"/>
        <w:rPr>
          <w:rFonts w:ascii="Times New Roman" w:cs="Times New Roman" w:eastAsia="Times New Roman" w:hAnsi="Times New Roman"/>
          <w:sz w:val="17"/>
          <w:szCs w:val="17"/>
          <w:b w:val="1"/>
          <w:bCs w:val="1"/>
          <w:color w:val="auto"/>
        </w:rPr>
      </w:pPr>
    </w:p>
    <w:p>
      <w:pPr>
        <w:ind w:left="3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Realization of the net deferred tax assets is dependent on factors including future reversals of existing taxable temporary differences and adequate future taxable income. The Group evaluates the potential realization of deferred tax assets on an entity-by-entity basis. As of December 31, 2022, the Company and most of its subsidiaries and VIE were in cumulative loss position, except some new entities with immaterial taxable income. As of December 31, 2023, Company re-evaluated the realization of deferred tax assets given the largely reduced uncertainty of the Company’s business performance after a certain number of the Company’s operation entities have turned cumulative profits from cumulative losses. The valuation allowance of RMB1,335.1 million and RMB442.7 million (US$62.3 million) as of December 31, 2022 and 2023 was primarily provided for the deferred income tax assets of certain subsidiaries, which were not able to utilize portion or all of the benefits of the deferred tax assets due to lack of sufficient sources of qualified taxable income. The change of valuation allowance in 2023 includes RMB282.6 million derecognition of deferred tax assets in relation to temporary difference for certain entity since new information was received in current year. The derecognition of such temporary differences would not impact the Company’s income tax expenses due to full valuation allowance provided as December 31, 2022.</w:t>
      </w:r>
    </w:p>
    <w:p>
      <w:pPr>
        <w:spacing w:after="0" w:line="178" w:lineRule="exact"/>
        <w:rPr>
          <w:rFonts w:ascii="Times New Roman" w:cs="Times New Roman" w:eastAsia="Times New Roman" w:hAnsi="Times New Roman"/>
          <w:sz w:val="17"/>
          <w:szCs w:val="17"/>
          <w:b w:val="1"/>
          <w:bCs w:val="1"/>
          <w:color w:val="auto"/>
        </w:rPr>
      </w:pPr>
    </w:p>
    <w:p>
      <w:pPr>
        <w:ind w:left="320" w:right="10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Valuation allowances were provided against deferred tax assets in entities where it was determined it was more likely than not that some portion or all of the benefits of the deferred tax assets will not be realized. The ultimate realization of deferred income tax assets is dependent upon the generation of future taxable income during the periods in which those temporary differences become deductible or utilizable. In making such determination, the Group evaluates a variety of factors including the Group’s operating history, accumulated deficit, existence of taxable temporary differences and reversal periods.</w:t>
      </w:r>
    </w:p>
    <w:p>
      <w:pPr>
        <w:spacing w:after="0" w:line="185" w:lineRule="exact"/>
        <w:rPr>
          <w:rFonts w:ascii="Times New Roman" w:cs="Times New Roman" w:eastAsia="Times New Roman" w:hAnsi="Times New Roman"/>
          <w:sz w:val="17"/>
          <w:szCs w:val="17"/>
          <w:b w:val="1"/>
          <w:bCs w:val="1"/>
          <w:color w:val="auto"/>
        </w:rPr>
      </w:pPr>
    </w:p>
    <w:p>
      <w:pPr>
        <w:ind w:left="320" w:right="6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2023, the Group had accumulated tax losses of RMB2,729.5 million (US$384.4 million) derived from entities in the mainland PRC, which can be carried forward per tax regulation to offset future taxable income. The PRC taxable losses will expire from 2024 to 2028 if not utilized.</w:t>
      </w:r>
    </w:p>
    <w:p>
      <w:pPr>
        <w:spacing w:after="0" w:line="173"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Unrecognized Tax Position</w:t>
      </w:r>
    </w:p>
    <w:p>
      <w:pPr>
        <w:spacing w:after="0" w:line="221" w:lineRule="exact"/>
        <w:rPr>
          <w:rFonts w:ascii="Times New Roman" w:cs="Times New Roman" w:eastAsia="Times New Roman" w:hAnsi="Times New Roman"/>
          <w:sz w:val="17"/>
          <w:szCs w:val="17"/>
          <w:b w:val="1"/>
          <w:bCs w:val="1"/>
          <w:color w:val="auto"/>
        </w:rPr>
      </w:pPr>
    </w:p>
    <w:p>
      <w:pPr>
        <w:ind w:left="32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2022 and 2023, unrecognized tax benefits were RMB80.9 million and RMB79.5 million (US$11.2 million), among which, RMB 54.7 million and RMB57.6 million (US$8.1 million) of unrecognized tax benefits as of December 31,2022 and 2023,respectively, would impact the effective tax rate if ultimately recognized after considering valuation allowance. The unrecognized tax benefits were primarily related to deemed sales of free coupons to customers. The unrecognized tax benefits represent a reduction of the deferred income tax assets for tax loss carry forwards since the uncertain tax position would reduce the tax loss carry forwards under the tax law and the estimated income tax expenses the Group would be required to pay should its revenue for tax purposes be recognized in accordance with current PRC tax laws and regulations. The amounts of unrecognized tax benefits will change in the next 12 months, pending clarification of current tax law or audit by the tax authorities, however, an estimate of the range of the possible change cannot be made at this time.</w:t>
      </w:r>
    </w:p>
    <w:p>
      <w:pPr>
        <w:spacing w:after="0" w:line="187"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roll-forward of unrecognized tax benefits is as follows: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80" w:type="dxa"/>
            <w:vAlign w:val="bottom"/>
          </w:tcPr>
          <w:p>
            <w:pPr>
              <w:jc w:val="right"/>
              <w:ind w:right="21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4"/>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80" w:type="dxa"/>
            <w:vAlign w:val="bottom"/>
            <w:tcBorders>
              <w:top w:val="single" w:sz="8" w:color="auto"/>
            </w:tcBorders>
          </w:tcPr>
          <w:p>
            <w:pPr>
              <w:jc w:val="right"/>
              <w:ind w:right="19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3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700" w:type="dxa"/>
            <w:vAlign w:val="bottom"/>
            <w:tcBorders>
              <w:top w:val="single" w:sz="8" w:color="auto"/>
            </w:tcBorders>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Additions/(Deduction) based on tax positions related to the current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20" w:right="480" w:firstLine="318"/>
        <w:spacing w:after="0" w:line="274" w:lineRule="auto"/>
        <w:rPr>
          <w:sz w:val="20"/>
          <w:szCs w:val="20"/>
          <w:color w:val="auto"/>
        </w:rPr>
      </w:pPr>
      <w:r>
        <w:rPr>
          <w:rFonts w:ascii="Times New Roman" w:cs="Times New Roman" w:eastAsia="Times New Roman" w:hAnsi="Times New Roman"/>
          <w:sz w:val="18"/>
          <w:szCs w:val="18"/>
          <w:color w:val="auto"/>
        </w:rPr>
        <w:t>The Company’s tax returns continue to remain effectively subject to examination by China tax authorities for the years 2019 through 2023.</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00"/>
          </w:cols>
          <w:pgMar w:left="980" w:top="505" w:right="10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income per share for the years presented were calculated as follows:</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20" w:type="dxa"/>
            <w:vAlign w:val="bottom"/>
            <w:tcBorders>
              <w:bottom w:val="single" w:sz="8" w:color="auto"/>
            </w:tcBorders>
          </w:tcPr>
          <w:p>
            <w:pPr>
              <w:jc w:val="right"/>
              <w:ind w:right="249"/>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ind w:right="249"/>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000" w:type="dxa"/>
            <w:vAlign w:val="bottom"/>
            <w:tcBorders>
              <w:bottom w:val="single" w:sz="8" w:color="auto"/>
            </w:tcBorders>
            <w:gridSpan w:val="3"/>
          </w:tcPr>
          <w:p>
            <w:pPr>
              <w:jc w:val="right"/>
              <w:ind w:right="78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20" w:type="dxa"/>
            <w:vAlign w:val="bottom"/>
          </w:tcPr>
          <w:p>
            <w:pPr>
              <w:jc w:val="right"/>
              <w:ind w:right="22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40" w:type="dxa"/>
            <w:vAlign w:val="bottom"/>
          </w:tcPr>
          <w:p>
            <w:pPr>
              <w:jc w:val="right"/>
              <w:ind w:right="22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8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Pr>
          <w:p>
            <w:pPr>
              <w:jc w:val="right"/>
              <w:ind w:right="269"/>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i w:val="1"/>
                <w:iCs w:val="1"/>
                <w:color w:val="auto"/>
              </w:rPr>
              <w:t>Numerator:</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578,653</w:t>
            </w:r>
          </w:p>
        </w:tc>
        <w:tc>
          <w:tcPr>
            <w:tcW w:w="14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488,246</w:t>
            </w:r>
          </w:p>
        </w:tc>
        <w:tc>
          <w:tcPr>
            <w:tcW w:w="14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2,847,933</w:t>
            </w:r>
          </w:p>
        </w:tc>
        <w:tc>
          <w:tcPr>
            <w:tcW w:w="16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401,123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9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Net income attributable to ordinary shareholders</w:t>
            </w:r>
          </w:p>
        </w:tc>
        <w:tc>
          <w:tcPr>
            <w:tcW w:w="9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578,545</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488,246</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2,847,933</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401,123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60" w:type="dxa"/>
            <w:vAlign w:val="bottom"/>
          </w:tcPr>
          <w:p>
            <w:pPr>
              <w:spacing w:after="0" w:line="146" w:lineRule="exact"/>
              <w:rPr>
                <w:sz w:val="20"/>
                <w:szCs w:val="20"/>
                <w:color w:val="auto"/>
              </w:rPr>
            </w:pPr>
            <w:r>
              <w:rPr>
                <w:rFonts w:ascii="Times New Roman" w:cs="Times New Roman" w:eastAsia="Times New Roman" w:hAnsi="Times New Roman"/>
                <w:sz w:val="14"/>
                <w:szCs w:val="14"/>
                <w:i w:val="1"/>
                <w:iCs w:val="1"/>
                <w:color w:val="auto"/>
              </w:rPr>
              <w:t>Denominator:</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Weighted average number of shares – basic</w:t>
            </w:r>
          </w:p>
        </w:tc>
        <w:tc>
          <w:tcPr>
            <w:tcW w:w="9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2,051,263,478</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2,473,078,408</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2,532,109,710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2,532,109,710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tcBorders>
              <w:bottom w:val="single" w:sz="8" w:color="CCEEFF"/>
            </w:tcBorders>
          </w:tcPr>
          <w:p>
            <w:pPr>
              <w:ind w:left="100"/>
              <w:spacing w:after="0" w:line="146" w:lineRule="exact"/>
              <w:rPr>
                <w:sz w:val="20"/>
                <w:szCs w:val="20"/>
                <w:color w:val="auto"/>
              </w:rPr>
            </w:pPr>
            <w:r>
              <w:rPr>
                <w:rFonts w:ascii="Times New Roman" w:cs="Times New Roman" w:eastAsia="Times New Roman" w:hAnsi="Times New Roman"/>
                <w:sz w:val="14"/>
                <w:szCs w:val="14"/>
                <w:color w:val="auto"/>
              </w:rPr>
              <w:t>Adjustments for dilutive options and RSUs</w:t>
            </w:r>
          </w:p>
        </w:tc>
        <w:tc>
          <w:tcPr>
            <w:tcW w:w="9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84,580,779</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43,195,219</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453,592</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453,592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Weighted average number of shares – diluted</w:t>
            </w: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2,135,844,257</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2,516,273,627</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2,532,563,302</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2,532,563,302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6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Basic net income per share attributable to ordinary shareholders</w:t>
            </w:r>
          </w:p>
        </w:tc>
        <w:tc>
          <w:tcPr>
            <w:tcW w:w="9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0.29</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0.20</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1.12</w:t>
            </w:r>
          </w:p>
        </w:tc>
        <w:tc>
          <w:tcPr>
            <w:tcW w:w="1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Diluted net income per share attributable to ordinary shareholders</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980" w:type="dxa"/>
            <w:vAlign w:val="bottom"/>
            <w:gridSpan w:val="2"/>
            <w:vMerge w:val="continue"/>
          </w:tcPr>
          <w:p>
            <w:pPr>
              <w:spacing w:after="0"/>
              <w:rPr>
                <w:sz w:val="10"/>
                <w:szCs w:val="10"/>
                <w:color w:val="auto"/>
              </w:rPr>
            </w:pPr>
          </w:p>
        </w:tc>
        <w:tc>
          <w:tcPr>
            <w:tcW w:w="9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0.27</w:t>
            </w:r>
          </w:p>
        </w:tc>
        <w:tc>
          <w:tcPr>
            <w:tcW w:w="14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0.19</w:t>
            </w:r>
          </w:p>
        </w:tc>
        <w:tc>
          <w:tcPr>
            <w:tcW w:w="14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160"/>
        <w:spacing w:after="0" w:line="251" w:lineRule="auto"/>
        <w:rPr>
          <w:sz w:val="20"/>
          <w:szCs w:val="20"/>
          <w:color w:val="auto"/>
        </w:rPr>
      </w:pPr>
      <w:r>
        <w:rPr>
          <w:rFonts w:ascii="Times New Roman" w:cs="Times New Roman" w:eastAsia="Times New Roman" w:hAnsi="Times New Roman"/>
          <w:sz w:val="18"/>
          <w:szCs w:val="18"/>
          <w:color w:val="auto"/>
        </w:rPr>
        <w:t>Generally, basic net income per share is computed using the weighted average number of ordinary shares and Senior Preferred Shares outstanding during the respective year. Senior Preferred Shares were considered as participating securities under ASC 260, therefore, they are included in the computation of basis shares. Diluted net income per share is computed using the weighted average number of ordinary shares and dilutive potential ordinary shares outstanding during the respective year. The potentially dilutive ordinary shares included RSUs and options to purchase ordinary shares of 84,580,779, 43,195,219 and 453,592 for the years ended December 31, 2021, 2022 and 2023 on a weighted average basis, respectively.</w:t>
      </w:r>
    </w:p>
    <w:p>
      <w:pPr>
        <w:spacing w:after="0" w:line="183" w:lineRule="exact"/>
        <w:rPr>
          <w:sz w:val="20"/>
          <w:szCs w:val="20"/>
          <w:color w:val="auto"/>
        </w:rPr>
      </w:pPr>
    </w:p>
    <w:p>
      <w:pPr>
        <w:ind w:left="320" w:hanging="313"/>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9" w:lineRule="exact"/>
        <w:rPr>
          <w:rFonts w:ascii="Times New Roman" w:cs="Times New Roman" w:eastAsia="Times New Roman" w:hAnsi="Times New Roman"/>
          <w:sz w:val="18"/>
          <w:szCs w:val="18"/>
          <w:b w:val="1"/>
          <w:bCs w:val="1"/>
          <w:color w:val="auto"/>
        </w:rPr>
      </w:pPr>
    </w:p>
    <w:p>
      <w:pPr>
        <w:ind w:left="320" w:right="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enters into lease agreements to have leasing for self-operated stores, office spaces, and other corporate assets that the Group utilizes.</w:t>
      </w:r>
    </w:p>
    <w:p>
      <w:pPr>
        <w:spacing w:after="0" w:line="16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balance sheet information related to operating lease was as follows: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Pr>
          <w:p>
            <w:pPr>
              <w:jc w:val="right"/>
              <w:ind w:right="138"/>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4"/>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Borders>
              <w:top w:val="single" w:sz="8" w:color="auto"/>
            </w:tcBorders>
          </w:tcPr>
          <w:p>
            <w:pPr>
              <w:jc w:val="right"/>
              <w:ind w:right="11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top w:val="single" w:sz="8" w:color="auto"/>
            </w:tcBorders>
          </w:tcPr>
          <w:p>
            <w:pPr>
              <w:jc w:val="right"/>
              <w:ind w:right="15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2,003,997</w:t>
            </w:r>
          </w:p>
        </w:tc>
        <w:tc>
          <w:tcPr>
            <w:tcW w:w="1060" w:type="dxa"/>
            <w:vAlign w:val="bottom"/>
            <w:gridSpan w:val="3"/>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9"/>
              </w:rPr>
              <w:t>5,186,855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730,553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880,873</w:t>
            </w:r>
          </w:p>
        </w:tc>
        <w:tc>
          <w:tcPr>
            <w:tcW w:w="1060" w:type="dxa"/>
            <w:vAlign w:val="bottom"/>
            <w:gridSpan w:val="3"/>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9"/>
              </w:rPr>
              <w:t>1,851,310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1,024,274</w:t>
            </w:r>
          </w:p>
        </w:tc>
        <w:tc>
          <w:tcPr>
            <w:tcW w:w="1060" w:type="dxa"/>
            <w:vAlign w:val="bottom"/>
            <w:gridSpan w:val="3"/>
          </w:tcPr>
          <w:p>
            <w:pPr>
              <w:jc w:val="center"/>
              <w:ind w:left="199"/>
              <w:spacing w:after="0"/>
              <w:rPr>
                <w:sz w:val="20"/>
                <w:szCs w:val="20"/>
                <w:color w:val="auto"/>
              </w:rPr>
            </w:pPr>
            <w:r>
              <w:rPr>
                <w:rFonts w:ascii="Times New Roman" w:cs="Times New Roman" w:eastAsia="Times New Roman" w:hAnsi="Times New Roman"/>
                <w:sz w:val="18"/>
                <w:szCs w:val="18"/>
                <w:color w:val="auto"/>
                <w:w w:val="97"/>
              </w:rPr>
              <w:t>3,114,855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1,905,147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4,966,165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699,470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operating lease as of December 31, 2023 were as follows: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Remaining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-119380</wp:posOffset>
            </wp:positionV>
            <wp:extent cx="5788660"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5788660" cy="13462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31"/>
        </w:trPr>
        <w:tc>
          <w:tcPr>
            <w:tcW w:w="3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20"/>
                <w:szCs w:val="20"/>
                <w:color w:val="auto"/>
              </w:rPr>
            </w:pPr>
          </w:p>
        </w:tc>
      </w:tr>
      <w:tr>
        <w:trPr>
          <w:trHeight w:val="830"/>
        </w:trPr>
        <w:tc>
          <w:tcPr>
            <w:tcW w:w="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40" w:type="dxa"/>
            <w:vAlign w:val="bottom"/>
          </w:tcPr>
          <w:p>
            <w:pPr>
              <w:jc w:val="right"/>
              <w:ind w:right="4056"/>
              <w:spacing w:after="0"/>
              <w:rPr>
                <w:sz w:val="20"/>
                <w:szCs w:val="20"/>
                <w:color w:val="auto"/>
              </w:rPr>
            </w:pPr>
            <w:r>
              <w:rPr>
                <w:rFonts w:ascii="Times New Roman" w:cs="Times New Roman" w:eastAsia="Times New Roman" w:hAnsi="Times New Roman"/>
                <w:sz w:val="18"/>
                <w:szCs w:val="18"/>
                <w:color w:val="auto"/>
              </w:rPr>
              <w:t>F-43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35"/>
        </w:trPr>
        <w:tc>
          <w:tcPr>
            <w:tcW w:w="3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6"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(CONTINUED)</w:t>
      </w:r>
    </w:p>
    <w:p>
      <w:pPr>
        <w:spacing w:after="0" w:line="219" w:lineRule="exact"/>
        <w:rPr>
          <w:rFonts w:ascii="Times New Roman" w:cs="Times New Roman" w:eastAsia="Times New Roman" w:hAnsi="Times New Roman"/>
          <w:sz w:val="18"/>
          <w:szCs w:val="18"/>
          <w:b w:val="1"/>
          <w:bCs w:val="1"/>
          <w:color w:val="auto"/>
        </w:rPr>
      </w:pPr>
    </w:p>
    <w:p>
      <w:pPr>
        <w:ind w:left="320" w:right="2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2022 and 2023, the Group incurred total operating lease expenses of RMB854.6 million and RMB1,399.2 million (US$197.1 million), respectively, and operating lease payment of RMB 875.7 million and RMB1,442.0 million (US$203.1 million), respectively.</w:t>
      </w:r>
    </w:p>
    <w:p>
      <w:pPr>
        <w:spacing w:after="0" w:line="177" w:lineRule="exact"/>
        <w:rPr>
          <w:rFonts w:ascii="Times New Roman" w:cs="Times New Roman" w:eastAsia="Times New Roman" w:hAnsi="Times New Roman"/>
          <w:sz w:val="18"/>
          <w:szCs w:val="18"/>
          <w:b w:val="1"/>
          <w:bCs w:val="1"/>
          <w:color w:val="auto"/>
        </w:rPr>
      </w:pPr>
    </w:p>
    <w:p>
      <w:pPr>
        <w:ind w:left="320" w:right="1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Group has entered into operating leases that have not yet commenced of RMB143.7 million (US$20.2 million), primarily related to store leases. These leases will commence between fiscal year 2024 and fiscal year 2028 with lease terms ranging from 12 months to 122 months.</w:t>
      </w:r>
    </w:p>
    <w:p>
      <w:pPr>
        <w:spacing w:after="0" w:line="177" w:lineRule="exact"/>
        <w:rPr>
          <w:rFonts w:ascii="Times New Roman" w:cs="Times New Roman" w:eastAsia="Times New Roman" w:hAnsi="Times New Roman"/>
          <w:sz w:val="18"/>
          <w:szCs w:val="18"/>
          <w:b w:val="1"/>
          <w:bCs w:val="1"/>
          <w:color w:val="auto"/>
        </w:rPr>
      </w:pPr>
    </w:p>
    <w:p>
      <w:pPr>
        <w:ind w:left="320" w:right="58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Future minimum lease payments under non-cancellable operating leases with initial terms in excess of one year consisted of the following as of December 31, 2023:</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1,851,310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260,752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997,107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569,961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386,414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(349,554)</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4,966,165</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20" w:hanging="313"/>
        <w:spacing w:after="0"/>
        <w:tabs>
          <w:tab w:leader="none" w:pos="3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SEC SETTLEMENT</w:t>
      </w:r>
    </w:p>
    <w:p>
      <w:pPr>
        <w:spacing w:after="0" w:line="219" w:lineRule="exact"/>
        <w:rPr>
          <w:rFonts w:ascii="Times New Roman" w:cs="Times New Roman" w:eastAsia="Times New Roman" w:hAnsi="Times New Roman"/>
          <w:sz w:val="18"/>
          <w:szCs w:val="18"/>
          <w:b w:val="1"/>
          <w:bCs w:val="1"/>
          <w:color w:val="auto"/>
        </w:rPr>
      </w:pPr>
    </w:p>
    <w:p>
      <w:pPr>
        <w:ind w:left="3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16, 2020, the SEC announced its settlement with the Company (“SEC Settlement”) regarding the Fabricated Transactions. Under the terms of the settlement, the Group, without admitting or denying the allegations of the SEC, consented to the entry of an order (i) requiring it to pay a civil money penalty in the amount of US$180 million to the SEC, which shall be offset by any cash payments made by the Group to its security holders pursuant to any schemes of arrangement approved by the Cayman Court in the proceeding for the provisional liquidation and restructuring, provided that such payments are made within 18 months subject to extensions granted by the SEC up to 24 months and the final distribution plan is not reasonably objectionable to the SEC staff, and (ii) permanently enjoining it from violations of certain federal securities laws, including Section 10(b) of the Securities Exchange Act of 1934. On February 4, 2021, the United States District Court for the Southern District of New York issued a judgment (the “Judgement”) approving the SEC Settlement.</w:t>
      </w:r>
    </w:p>
    <w:p>
      <w:pPr>
        <w:spacing w:after="0" w:line="187" w:lineRule="exact"/>
        <w:rPr>
          <w:rFonts w:ascii="Times New Roman" w:cs="Times New Roman" w:eastAsia="Times New Roman" w:hAnsi="Times New Roman"/>
          <w:sz w:val="18"/>
          <w:szCs w:val="18"/>
          <w:b w:val="1"/>
          <w:bCs w:val="1"/>
          <w:color w:val="auto"/>
        </w:rPr>
      </w:pPr>
    </w:p>
    <w:p>
      <w:pPr>
        <w:ind w:left="320"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2021, the Company announced that it entered into a restructuring support agreement with holders of a majority of the Notes. However, the Company was unable to predict with certainty the total amount of cash that would be paid to security holders according to the Cayman Court proceeding within the timeframe stipulated in the SEC Settlement and whether any ultimately approved distribution plan would be subject to any successful reasonable objections by the SEC Staff as contemplated by the SEC Settlement. Consequently, as of December 31, 2020, the full amount of the SEC penalty in the amount of US$180 million (RMB1,174.5 million) was recorded as non-current liability.</w:t>
      </w:r>
    </w:p>
    <w:p>
      <w:pPr>
        <w:spacing w:after="0" w:line="185" w:lineRule="exact"/>
        <w:rPr>
          <w:rFonts w:ascii="Times New Roman" w:cs="Times New Roman" w:eastAsia="Times New Roman" w:hAnsi="Times New Roman"/>
          <w:sz w:val="18"/>
          <w:szCs w:val="18"/>
          <w:b w:val="1"/>
          <w:bCs w:val="1"/>
          <w:color w:val="auto"/>
        </w:rPr>
      </w:pPr>
    </w:p>
    <w:p>
      <w:pPr>
        <w:ind w:left="32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December 17, 2021, the Scheme in relation to the Restructuring of the Notes became effective, pursuant to which the Company’s best estimate was that the final total cash payment to the bond holders would well exceed US$180 million. Also, during December 2021, the Company had informal communications with SEC on predicted distribution plan and the proposed proof of cash payment to Scheme creditors. The SEC did not state any objection and agreed to the method of payment confirmation proposed by the Company. Therefore, based on all available conditions as of December 31, 2021, it was very probable that the SEC staff would be satisfied that the cash payment to the bond holders to be made in January 2022, estimated at the time to exceed US $180 million, would fully offset the SEC civil penalty as stated in the Judgement. Accordingly, the Company fully reversed the provision for the SEC Settlement during the year ended December 31, 2021 and no outstanding balance of penalty was existed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SEC SETTLEMENT (CONTINUED)</w:t>
      </w:r>
    </w:p>
    <w:p>
      <w:pPr>
        <w:spacing w:after="0" w:line="219" w:lineRule="exact"/>
        <w:rPr>
          <w:rFonts w:ascii="Times New Roman" w:cs="Times New Roman" w:eastAsia="Times New Roman" w:hAnsi="Times New Roman"/>
          <w:sz w:val="18"/>
          <w:szCs w:val="18"/>
          <w:b w:val="1"/>
          <w:bCs w:val="1"/>
          <w:color w:val="auto"/>
        </w:rPr>
      </w:pPr>
    </w:p>
    <w:p>
      <w:pPr>
        <w:ind w:left="32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3, 2022, the Company received a Notice of Satisfaction of Penalty Provision of the Final Judgment (the “Satisfaction Notice”) on SEC Penalty of US $ 180 million from SEC who acknowledged the Company that the final distribution plan was not objectionable to the SEC, and proof of cash payments of at least US $180 million made by the Company and distributed to its security holders has been provided to the Commission. Accordingly, the Company has satisfied the penalty provisions of the Final Judgment and no outstanding balance of penalty shall be paid to SEC as of December 31, 2022.</w:t>
      </w:r>
    </w:p>
    <w:p>
      <w:pPr>
        <w:spacing w:after="0" w:line="185" w:lineRule="exact"/>
        <w:rPr>
          <w:rFonts w:ascii="Times New Roman" w:cs="Times New Roman" w:eastAsia="Times New Roman" w:hAnsi="Times New Roman"/>
          <w:sz w:val="18"/>
          <w:szCs w:val="18"/>
          <w:b w:val="1"/>
          <w:bCs w:val="1"/>
          <w:color w:val="auto"/>
        </w:rPr>
      </w:pPr>
    </w:p>
    <w:p>
      <w:pPr>
        <w:ind w:left="320" w:right="28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2021, 2022 and 2023, provision for SEC settlement of negative RMB1,146.5 million, nil and nil were charge in the Group’s consolidated statements of operations and comprehensive income, respectively.</w:t>
      </w:r>
    </w:p>
    <w:p>
      <w:pPr>
        <w:spacing w:after="0" w:line="161" w:lineRule="exact"/>
        <w:rPr>
          <w:rFonts w:ascii="Times New Roman" w:cs="Times New Roman" w:eastAsia="Times New Roman" w:hAnsi="Times New Roman"/>
          <w:sz w:val="18"/>
          <w:szCs w:val="18"/>
          <w:b w:val="1"/>
          <w:bCs w:val="1"/>
          <w:color w:val="auto"/>
        </w:rPr>
      </w:pPr>
    </w:p>
    <w:p>
      <w:pPr>
        <w:ind w:left="320" w:hanging="313"/>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5" w:lineRule="exact"/>
        <w:rPr>
          <w:rFonts w:ascii="Times New Roman" w:cs="Times New Roman" w:eastAsia="Times New Roman" w:hAnsi="Times New Roman"/>
          <w:sz w:val="18"/>
          <w:szCs w:val="18"/>
          <w:b w:val="1"/>
          <w:bCs w:val="1"/>
          <w:color w:val="auto"/>
        </w:rPr>
      </w:pPr>
    </w:p>
    <w:p>
      <w:pPr>
        <w:ind w:left="640" w:hanging="315"/>
        <w:spacing w:after="0"/>
        <w:tabs>
          <w:tab w:leader="none" w:pos="640" w:val="left"/>
        </w:tabs>
        <w:numPr>
          <w:ilvl w:val="1"/>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 commitments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Group’s capital commitments primarily relate to investing activities contracted but not yet reflected in the financial statements.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Group’s contractual obligations and commercial commitments as of December 31, 2023:</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260" w:type="dxa"/>
            <w:vAlign w:val="bottom"/>
          </w:tcPr>
          <w:p>
            <w:pPr>
              <w:spacing w:after="0"/>
              <w:rPr>
                <w:sz w:val="9"/>
                <w:szCs w:val="9"/>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9"/>
                <w:szCs w:val="9"/>
                <w:color w:val="auto"/>
              </w:rPr>
            </w:pPr>
          </w:p>
        </w:tc>
        <w:tc>
          <w:tcPr>
            <w:tcW w:w="84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2–3 years</w:t>
            </w:r>
          </w:p>
        </w:tc>
        <w:tc>
          <w:tcPr>
            <w:tcW w:w="160" w:type="dxa"/>
            <w:vAlign w:val="bottom"/>
            <w:vMerge w:val="restart"/>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4–5 years</w:t>
            </w:r>
          </w:p>
        </w:tc>
        <w:tc>
          <w:tcPr>
            <w:tcW w:w="140" w:type="dxa"/>
            <w:vAlign w:val="bottom"/>
            <w:vMerge w:val="restart"/>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6"/>
        </w:trPr>
        <w:tc>
          <w:tcPr>
            <w:tcW w:w="5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(in thousands of RMB)</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Factory and office building construction commitments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purchasing commitment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549,715</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26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616,877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609,656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7,221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than those shown above, the Group did not have any significant capital commitments as of December 31, 2023.</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Legal proceedings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w:t>
      </w:r>
    </w:p>
    <w:p>
      <w:pPr>
        <w:spacing w:after="0" w:line="217"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Group assesses these contingent liabilities, which inherently involves judgment. In assessing loss contingencies related to legal proceedings that are pending against the Group or unasserted claims that may result in legal proceedings, the Group, in consultation with its legal counsel, evaluates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87" w:lineRule="exact"/>
        <w:rPr>
          <w:sz w:val="20"/>
          <w:szCs w:val="20"/>
          <w:color w:val="auto"/>
        </w:rPr>
      </w:pPr>
    </w:p>
    <w:p>
      <w:pPr>
        <w:ind w:left="320" w:right="420"/>
        <w:spacing w:after="0" w:line="274" w:lineRule="auto"/>
        <w:rPr>
          <w:sz w:val="20"/>
          <w:szCs w:val="20"/>
          <w:color w:val="auto"/>
        </w:rPr>
      </w:pPr>
      <w:r>
        <w:rPr>
          <w:rFonts w:ascii="Times New Roman" w:cs="Times New Roman" w:eastAsia="Times New Roman" w:hAnsi="Times New Roman"/>
          <w:sz w:val="18"/>
          <w:szCs w:val="18"/>
          <w:color w:val="auto"/>
        </w:rPr>
        <w:t>The Group made adequate disclose of contingency loss of which an unfavorable outcome of legal proceeding is determined to be reasonably possible but not probable, or if the amount of loss cannot be reasonably estimated.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60"/>
          </w:cols>
          <w:pgMar w:left="980" w:top="506" w:right="10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15" w:lineRule="exact"/>
        <w:rPr>
          <w:rFonts w:ascii="Times New Roman" w:cs="Times New Roman" w:eastAsia="Times New Roman" w:hAnsi="Times New Roman"/>
          <w:sz w:val="18"/>
          <w:szCs w:val="18"/>
          <w:b w:val="1"/>
          <w:bCs w:val="1"/>
          <w:color w:val="auto"/>
        </w:rPr>
      </w:pPr>
    </w:p>
    <w:p>
      <w:pPr>
        <w:ind w:left="660" w:hanging="335"/>
        <w:spacing w:after="0"/>
        <w:tabs>
          <w:tab w:leader="none" w:pos="660" w:val="left"/>
        </w:tabs>
        <w:numPr>
          <w:ilvl w:val="1"/>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proceedings (continued)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U.S. Department of Justice Investigation (the “DOJ”)</w:t>
      </w:r>
    </w:p>
    <w:p>
      <w:pPr>
        <w:spacing w:after="0" w:line="217" w:lineRule="exact"/>
        <w:rPr>
          <w:sz w:val="20"/>
          <w:szCs w:val="20"/>
          <w:color w:val="auto"/>
        </w:rPr>
      </w:pPr>
    </w:p>
    <w:p>
      <w:pPr>
        <w:ind w:left="320" w:right="20"/>
        <w:spacing w:after="0" w:line="267" w:lineRule="auto"/>
        <w:rPr>
          <w:sz w:val="20"/>
          <w:szCs w:val="20"/>
          <w:color w:val="auto"/>
        </w:rPr>
      </w:pPr>
      <w:r>
        <w:rPr>
          <w:rFonts w:ascii="Times New Roman" w:cs="Times New Roman" w:eastAsia="Times New Roman" w:hAnsi="Times New Roman"/>
          <w:sz w:val="17"/>
          <w:szCs w:val="17"/>
          <w:color w:val="auto"/>
        </w:rPr>
        <w:t>The Group was contacted by the U.S. Attorney’s Office for the Southern District of New York (“SDNY”) following the Group’s public disclosure on April 2, 2020 relating to the Fabricated Transactions. The SDNY indicated that it had commenced an investigation into the Fabricated Transactions. The Group apprised the SDNY of the relevant Chinese laws that restrict the Group from providing evidence and information without prior approval from the Chinese Ministry of Justice, and is committed to cooperating with the DOJ to the extent permissible under the applicable PRC laws. The Group cannot predict the outcome or the duration of this investigation or any other legal proceedings or any enforcement actions or other remedies that may be imposed on the Group arising out of this investigation. No liability or loss was recognized as of December 31, 2022 and 2023 and for the year then ended.</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Ministry of Finance Investigation</w:t>
      </w:r>
    </w:p>
    <w:p>
      <w:pPr>
        <w:spacing w:after="0" w:line="217"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On May 6, 2020, the Ministry of Finance of the PRC initiated its investigation into the accounting information of two entities of the Group. On July 31, 2020, the Ministry of Finance of the PRC announced its investigation has been substantially completed. The Ministry of Finance of the PRC further announced that they would impose and publish its relevant penalty decision to the Group in due course. The Group cannot predict the outcome or the duration of this investigation or any other legal proceedings or any enforcement actions or other remedies that may be imposed on the Group arising out of this investigation. No liability or loss was recognized as of December 31, 2022 and 2023 and for the year then ended.</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U.S. Class Actions</w:t>
      </w:r>
    </w:p>
    <w:p>
      <w:pPr>
        <w:spacing w:after="0" w:line="219" w:lineRule="exact"/>
        <w:rPr>
          <w:sz w:val="20"/>
          <w:szCs w:val="20"/>
          <w:color w:val="auto"/>
        </w:rPr>
      </w:pPr>
    </w:p>
    <w:p>
      <w:pPr>
        <w:ind w:left="320" w:right="20"/>
        <w:spacing w:after="0" w:line="247" w:lineRule="auto"/>
        <w:rPr>
          <w:sz w:val="20"/>
          <w:szCs w:val="20"/>
          <w:color w:val="auto"/>
        </w:rPr>
      </w:pPr>
      <w:r>
        <w:rPr>
          <w:rFonts w:ascii="Times New Roman" w:cs="Times New Roman" w:eastAsia="Times New Roman" w:hAnsi="Times New Roman"/>
          <w:sz w:val="18"/>
          <w:szCs w:val="18"/>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and is captioned </w:t>
      </w:r>
      <w:r>
        <w:rPr>
          <w:rFonts w:ascii="Times New Roman" w:cs="Times New Roman" w:eastAsia="Times New Roman" w:hAnsi="Times New Roman"/>
          <w:sz w:val="18"/>
          <w:szCs w:val="18"/>
          <w:i w:val="1"/>
          <w:iCs w:val="1"/>
          <w:color w:val="auto"/>
        </w:rPr>
        <w:t>In re Luckin Coffee Inc. Securities Litigation</w:t>
      </w:r>
      <w:r>
        <w:rPr>
          <w:rFonts w:ascii="Times New Roman" w:cs="Times New Roman" w:eastAsia="Times New Roman" w:hAnsi="Times New Roman"/>
          <w:sz w:val="18"/>
          <w:szCs w:val="18"/>
          <w:color w:val="auto"/>
        </w:rPr>
        <w:t>, 1:20-cv-01293 (S.D.N.Y.) (the “Federal Class Action”). On June 12, 2020, the court appointed co-lead plaintiffs (the “Federal Lead Plaintiffs” )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of the Securities Exchange Act of 1934, and Sections 11 and 15 of the Securities Act. 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80"/>
          </w:cols>
          <w:pgMar w:left="980" w:top="505" w:right="10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15" w:lineRule="exact"/>
        <w:rPr>
          <w:rFonts w:ascii="Times New Roman" w:cs="Times New Roman" w:eastAsia="Times New Roman" w:hAnsi="Times New Roman"/>
          <w:sz w:val="18"/>
          <w:szCs w:val="18"/>
          <w:b w:val="1"/>
          <w:bCs w:val="1"/>
          <w:color w:val="auto"/>
        </w:rPr>
      </w:pPr>
    </w:p>
    <w:p>
      <w:pPr>
        <w:ind w:left="660" w:hanging="335"/>
        <w:spacing w:after="0"/>
        <w:tabs>
          <w:tab w:leader="none" w:pos="660" w:val="left"/>
        </w:tabs>
        <w:numPr>
          <w:ilvl w:val="1"/>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proceedings (continued)</w:t>
      </w:r>
    </w:p>
    <w:p>
      <w:pPr>
        <w:spacing w:after="0" w:line="221" w:lineRule="exact"/>
        <w:rPr>
          <w:sz w:val="20"/>
          <w:szCs w:val="20"/>
          <w:color w:val="auto"/>
        </w:rPr>
      </w:pPr>
    </w:p>
    <w:p>
      <w:pPr>
        <w:ind w:left="320"/>
        <w:spacing w:after="0" w:line="263" w:lineRule="auto"/>
        <w:rPr>
          <w:sz w:val="20"/>
          <w:szCs w:val="20"/>
          <w:color w:val="auto"/>
        </w:rPr>
      </w:pPr>
      <w:r>
        <w:rPr>
          <w:rFonts w:ascii="Times New Roman" w:cs="Times New Roman" w:eastAsia="Times New Roman" w:hAnsi="Times New Roman"/>
          <w:sz w:val="17"/>
          <w:szCs w:val="17"/>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7"/>
          <w:szCs w:val="17"/>
          <w:i w:val="1"/>
          <w:iCs w:val="1"/>
          <w:color w:val="auto"/>
        </w:rPr>
        <w:t>In re Luckin Coffee Inc. Securities Litigation</w:t>
      </w:r>
      <w:r>
        <w:rPr>
          <w:rFonts w:ascii="Times New Roman" w:cs="Times New Roman" w:eastAsia="Times New Roman" w:hAnsi="Times New Roman"/>
          <w:sz w:val="17"/>
          <w:szCs w:val="17"/>
          <w:color w:val="auto"/>
        </w:rPr>
        <w:t>, 651939/2020 (N.Y. Sup. Ct.). A consolidated amended complaint was filed on December 23, 2020, adding claims against investment vehicles owned by former officers and directors of Luckin and Luckin’s agent for service of process, Cogency Global. The amended complaint also asserted claims under the Securities Act on behalf of a class of purchasers of convertible senior notes issued by Luckin in January 2020 (the “Notes Class”).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U.S. “Opt Out” Claims</w:t>
      </w:r>
    </w:p>
    <w:p>
      <w:pPr>
        <w:spacing w:after="0" w:line="219" w:lineRule="exact"/>
        <w:rPr>
          <w:sz w:val="20"/>
          <w:szCs w:val="20"/>
          <w:color w:val="auto"/>
        </w:rPr>
      </w:pPr>
    </w:p>
    <w:p>
      <w:pPr>
        <w:ind w:left="320" w:right="300"/>
        <w:spacing w:after="0" w:line="252" w:lineRule="auto"/>
        <w:rPr>
          <w:sz w:val="20"/>
          <w:szCs w:val="20"/>
          <w:color w:val="auto"/>
        </w:rPr>
      </w:pPr>
      <w:r>
        <w:rPr>
          <w:rFonts w:ascii="Times New Roman" w:cs="Times New Roman" w:eastAsia="Times New Roman" w:hAnsi="Times New Roman"/>
          <w:sz w:val="18"/>
          <w:szCs w:val="18"/>
          <w:color w:val="auto"/>
        </w:rPr>
        <w:t xml:space="preserve">The Company had also been named as a defendant in the following opt-out lawsuits alleging violations of U.S. securities laws: </w:t>
      </w:r>
      <w:r>
        <w:rPr>
          <w:rFonts w:ascii="Times New Roman" w:cs="Times New Roman" w:eastAsia="Times New Roman" w:hAnsi="Times New Roman"/>
          <w:sz w:val="18"/>
          <w:szCs w:val="18"/>
          <w:i w:val="1"/>
          <w:iCs w:val="1"/>
          <w:color w:val="auto"/>
        </w:rPr>
        <w:t>Kingstown Capital Management. v. Luckin Coffee et al.</w:t>
      </w:r>
      <w:r>
        <w:rPr>
          <w:rFonts w:ascii="Times New Roman" w:cs="Times New Roman" w:eastAsia="Times New Roman" w:hAnsi="Times New Roman"/>
          <w:sz w:val="18"/>
          <w:szCs w:val="18"/>
          <w:color w:val="auto"/>
        </w:rPr>
        <w:t>, 1:20-cv-07029 (S.D.N.Y.),</w:t>
      </w:r>
      <w:r>
        <w:rPr>
          <w:rFonts w:ascii="Times New Roman" w:cs="Times New Roman" w:eastAsia="Times New Roman" w:hAnsi="Times New Roman"/>
          <w:sz w:val="18"/>
          <w:szCs w:val="18"/>
          <w:i w:val="1"/>
          <w:iCs w:val="1"/>
          <w:color w:val="auto"/>
        </w:rPr>
        <w:t xml:space="preserve"> Lai Ye v. Luckin Coffee et al.</w:t>
      </w:r>
      <w:r>
        <w:rPr>
          <w:rFonts w:ascii="Times New Roman" w:cs="Times New Roman" w:eastAsia="Times New Roman" w:hAnsi="Times New Roman"/>
          <w:sz w:val="18"/>
          <w:szCs w:val="18"/>
          <w:color w:val="auto"/>
        </w:rPr>
        <w:t>, 1:21-cv-2020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(S.D.N.Y.), </w:t>
      </w:r>
      <w:r>
        <w:rPr>
          <w:rFonts w:ascii="Times New Roman" w:cs="Times New Roman" w:eastAsia="Times New Roman" w:hAnsi="Times New Roman"/>
          <w:sz w:val="18"/>
          <w:szCs w:val="18"/>
          <w:i w:val="1"/>
          <w:iCs w:val="1"/>
          <w:color w:val="auto"/>
        </w:rPr>
        <w:t>Nuveen Winslow Large-Cap Growth ESG Fund et al. v. Luckin Coffee et al.</w:t>
      </w:r>
      <w:r>
        <w:rPr>
          <w:rFonts w:ascii="Times New Roman" w:cs="Times New Roman" w:eastAsia="Times New Roman" w:hAnsi="Times New Roman"/>
          <w:sz w:val="18"/>
          <w:szCs w:val="18"/>
          <w:color w:val="auto"/>
        </w:rPr>
        <w:t xml:space="preserve">, 655177/2020 (N.Y. Sup. Ct.) and </w:t>
      </w:r>
      <w:r>
        <w:rPr>
          <w:rFonts w:ascii="Times New Roman" w:cs="Times New Roman" w:eastAsia="Times New Roman" w:hAnsi="Times New Roman"/>
          <w:sz w:val="18"/>
          <w:szCs w:val="18"/>
          <w:i w:val="1"/>
          <w:iCs w:val="1"/>
          <w:color w:val="auto"/>
        </w:rPr>
        <w:t>Bequai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Luckin Coffee</w:t>
      </w:r>
      <w:r>
        <w:rPr>
          <w:rFonts w:ascii="Times New Roman" w:cs="Times New Roman" w:eastAsia="Times New Roman" w:hAnsi="Times New Roman"/>
          <w:sz w:val="18"/>
          <w:szCs w:val="18"/>
          <w:color w:val="auto"/>
        </w:rPr>
        <w:t>, GV20019430-00 (Va. D. Ct., Fairfax Cty.) As of the date of this annual report, all of the above lawsuits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dismissed by the plaintiffs.</w:t>
      </w:r>
    </w:p>
    <w:p>
      <w:pPr>
        <w:spacing w:after="0" w:line="106"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Certain individuals and institutions claiming to be ADS investors have made informal demands for the company to pay alleged losses resulting from the Fabricated Transactions disclosed on April 2, 2020, but have not commenced legal proceedings. In the aggregate, the investors that have made informal demands have asserted losses in excess of US$325 million. On April 13, 2023, two of those investors commenced legal proceedings against the Company in the High Court of the Repulic of Singapore, seeking to recover an alleged loss of US$145.8 million in the aggregate. These legal proceedings are currently in an early stage of development, and the Company intends to use its best efforts to defend.</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U.S. Derivative Action</w:t>
      </w:r>
    </w:p>
    <w:p>
      <w:pPr>
        <w:spacing w:after="0" w:line="153" w:lineRule="exact"/>
        <w:rPr>
          <w:sz w:val="20"/>
          <w:szCs w:val="20"/>
          <w:color w:val="auto"/>
        </w:rPr>
      </w:pPr>
    </w:p>
    <w:p>
      <w:pPr>
        <w:ind w:left="320" w:right="300"/>
        <w:spacing w:after="0" w:line="274" w:lineRule="auto"/>
        <w:rPr>
          <w:sz w:val="20"/>
          <w:szCs w:val="20"/>
          <w:color w:val="auto"/>
        </w:rPr>
      </w:pPr>
      <w:r>
        <w:rPr>
          <w:rFonts w:ascii="Times New Roman" w:cs="Times New Roman" w:eastAsia="Times New Roman" w:hAnsi="Times New Roman"/>
          <w:sz w:val="17"/>
          <w:szCs w:val="17"/>
          <w:color w:val="auto"/>
        </w:rPr>
        <w:t>The Company was a nominal defendant in a consolidated putative derivative action filed in the Supreme Court of the State of New York captioned In re Luckin Coffee Inc. Derivative Litigation, 652800/2020 (N.Y. Sup. Ct.). The Federal Class Settlement includes releases of derivative claims on behalf of members of the Federal Class. On November 8, 2022, the parties filed a stipulation of discontinuance with prejudice to conclude the derivative litigation, which the court so-ordered on November 9, 2022.</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Canadian Class Action</w:t>
      </w:r>
    </w:p>
    <w:p>
      <w:pPr>
        <w:spacing w:after="0" w:line="219" w:lineRule="exact"/>
        <w:rPr>
          <w:sz w:val="20"/>
          <w:szCs w:val="20"/>
          <w:color w:val="auto"/>
        </w:rPr>
      </w:pPr>
    </w:p>
    <w:p>
      <w:pPr>
        <w:ind w:left="320" w:right="40"/>
        <w:spacing w:after="0" w:line="252" w:lineRule="auto"/>
        <w:rPr>
          <w:sz w:val="20"/>
          <w:szCs w:val="20"/>
          <w:color w:val="auto"/>
        </w:rPr>
      </w:pPr>
      <w:r>
        <w:rPr>
          <w:rFonts w:ascii="Times New Roman" w:cs="Times New Roman" w:eastAsia="Times New Roman" w:hAnsi="Times New Roman"/>
          <w:sz w:val="18"/>
          <w:szCs w:val="18"/>
          <w:color w:val="auto"/>
        </w:rPr>
        <w:t>On or about April 14, 2020, an Application for Authorization to Bring a Class Action was filed against Luckin Coffee Inc. by Martin Banoon (the “Applicant”) in the Superior Court of Quebec file no. 500-06-001058-201. The Applicant sought authorization to institute a class action on behalf of the proposed class members comprised of holders of Luckin Coffee’s ADS, as a result of Fabricated Transactions. On August 9, 2022, the Superior Court of Quebec entered judgment approving the Applicant’s request to discontinue the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506" w:right="10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hanging="313"/>
        <w:spacing w:after="0"/>
        <w:tabs>
          <w:tab w:leader="none" w:pos="3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15" w:lineRule="exact"/>
        <w:rPr>
          <w:rFonts w:ascii="Times New Roman" w:cs="Times New Roman" w:eastAsia="Times New Roman" w:hAnsi="Times New Roman"/>
          <w:sz w:val="18"/>
          <w:szCs w:val="18"/>
          <w:b w:val="1"/>
          <w:bCs w:val="1"/>
          <w:color w:val="auto"/>
        </w:rPr>
      </w:pPr>
    </w:p>
    <w:p>
      <w:pPr>
        <w:ind w:left="660" w:hanging="335"/>
        <w:spacing w:after="0"/>
        <w:tabs>
          <w:tab w:leader="none" w:pos="660" w:val="left"/>
        </w:tabs>
        <w:numPr>
          <w:ilvl w:val="1"/>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proceedings (continued)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Cayman Bondholder Action</w:t>
      </w:r>
    </w:p>
    <w:p>
      <w:pPr>
        <w:spacing w:after="0" w:line="219"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In May 2020, a group of bondholders commenced proceedings in the Cayman Court seeking to recover approximately US$155,000 of losses from the Company. By summons dated May 1, 2020, the bondholders applied ex parte for a worldwide freezing order (the “WFO”) against the Company, which order was granted by the Cayman Court on May 8, 2020. On July 1, 2020 to July 3, 2020 the Cayman Court heard the Company’s application to set aside the WFO. By order dated July 22, 2020, the Cayman Court discharged the WFO. The litigation was automatically stayed on the appointment of the JPLs on July 15, 2020 by operation of section 97 of the Companies Act. On August 12, 2020 the Cayman Court further ordered that the bondholders could seek to appeal the discharge order until 14 days after the discharge of the JPLs. However, there can be no further action in these proceedings as the indebtedness under the Notes has been effectively compromised due to the successful Restructuring as of January 28, 2022. In July 2022, these proceedings were discontinued by a consent order issued by the Cayman Court upon parties’ agreement.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Provision for U.S. securities litigation</w:t>
      </w:r>
    </w:p>
    <w:p>
      <w:pPr>
        <w:spacing w:after="0" w:line="221" w:lineRule="exact"/>
        <w:rPr>
          <w:sz w:val="20"/>
          <w:szCs w:val="20"/>
          <w:color w:val="auto"/>
        </w:rPr>
      </w:pPr>
    </w:p>
    <w:p>
      <w:pPr>
        <w:ind w:left="320" w:right="140"/>
        <w:spacing w:after="0" w:line="266" w:lineRule="auto"/>
        <w:rPr>
          <w:sz w:val="20"/>
          <w:szCs w:val="20"/>
          <w:color w:val="auto"/>
        </w:rPr>
      </w:pPr>
      <w:r>
        <w:rPr>
          <w:rFonts w:ascii="Times New Roman" w:cs="Times New Roman" w:eastAsia="Times New Roman" w:hAnsi="Times New Roman"/>
          <w:sz w:val="17"/>
          <w:szCs w:val="17"/>
          <w:color w:val="auto"/>
        </w:rPr>
        <w:t>The Company has been named as a defendant in various U.S. securities litigations described in “Note 20. Commitments And Contingencies – (b) legal proceedings.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ASC450. The Company’s estimate of probable losses from these litigations is based on either the amount of a settlement (if a settlement has been reached), the Company’s most recent offer made to a claimant (if no settlement has been reached but settlement negotiations have begun) or the implied recovery represented by the Federal Class Action Settlement (where no settlement negotiations have begun). The actual loss could be greater or smaller than our current estimate.</w:t>
      </w:r>
    </w:p>
    <w:p>
      <w:pPr>
        <w:spacing w:after="0" w:line="175" w:lineRule="exact"/>
        <w:rPr>
          <w:sz w:val="20"/>
          <w:szCs w:val="20"/>
          <w:color w:val="auto"/>
        </w:rPr>
      </w:pPr>
    </w:p>
    <w:p>
      <w:pPr>
        <w:ind w:left="320" w:right="220"/>
        <w:spacing w:after="0" w:line="252" w:lineRule="auto"/>
        <w:rPr>
          <w:sz w:val="20"/>
          <w:szCs w:val="20"/>
          <w:color w:val="auto"/>
        </w:rPr>
      </w:pPr>
      <w:r>
        <w:rPr>
          <w:rFonts w:ascii="Times New Roman" w:cs="Times New Roman" w:eastAsia="Times New Roman" w:hAnsi="Times New Roman"/>
          <w:sz w:val="18"/>
          <w:szCs w:val="18"/>
          <w:color w:val="auto"/>
        </w:rPr>
        <w:t>The Company recorded a provision for equity litigation of US$187.5 million (approximately RMB1,226.1 million) in the year ended December 31, 2020. The Company recorded an additional US$24.4 million (approximately RMB155.3 million), US$41.9 million (approximately RMB280.0 million) and US$12.6 million (approximately RMB92.2 million) in the year ended December 31, 2021, 2022 and 2023. As of December 31, 2022 and 2023, the balance of payable for equity litigants settlement was US$4.9 million (approximately RMB33.8 million) and US$16.4 million (approximately RMB116.3 million),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3860" w:hanging="313"/>
        <w:spacing w:after="0" w:line="496" w:lineRule="auto"/>
        <w:tabs>
          <w:tab w:leader="none" w:pos="311"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w:t>
      </w:r>
      <w:r>
        <w:rPr>
          <w:rFonts w:ascii="Times New Roman" w:cs="Times New Roman" w:eastAsia="Times New Roman" w:hAnsi="Times New Roman"/>
          <w:sz w:val="18"/>
          <w:szCs w:val="18"/>
          <w:b w:val="1"/>
          <w:bCs w:val="1"/>
          <w:i w:val="1"/>
          <w:iCs w:val="1"/>
          <w:color w:val="auto"/>
        </w:rPr>
        <w:t>Condensed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80" w:type="dxa"/>
            <w:vAlign w:val="bottom"/>
            <w:tcBorders>
              <w:top w:val="single" w:sz="8" w:color="auto"/>
            </w:tcBorders>
            <w:gridSpan w:val="3"/>
          </w:tcPr>
          <w:p>
            <w:pPr>
              <w:jc w:val="right"/>
              <w:ind w:right="56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top w:val="single" w:sz="8" w:color="auto"/>
            </w:tcBorders>
          </w:tcPr>
          <w:p>
            <w:pPr>
              <w:jc w:val="right"/>
              <w:ind w:right="23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12,534,774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13,043,055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2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12,756,676</w:t>
            </w:r>
          </w:p>
        </w:tc>
        <w:tc>
          <w:tcPr>
            <w:tcW w:w="18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13,076,585</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1,841,798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subsidiaries and VIE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(5,736,325)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(2,926,400)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(5,736,325)</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(2,926,400)</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(412,175)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7,020,351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10,150,185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1,429,623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DEFICITS</w:t>
            </w: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393,064</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435,740</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61,374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0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393,064</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435,740</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61,374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2"/>
        </w:trPr>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gridSpan w:val="2"/>
          </w:tcPr>
          <w:p>
            <w:pPr>
              <w:jc w:val="right"/>
              <w:ind w:right="2256"/>
              <w:spacing w:after="0"/>
              <w:rPr>
                <w:sz w:val="20"/>
                <w:szCs w:val="20"/>
                <w:color w:val="auto"/>
              </w:rPr>
            </w:pPr>
            <w:r>
              <w:rPr>
                <w:rFonts w:ascii="Times New Roman" w:cs="Times New Roman" w:eastAsia="Times New Roman" w:hAnsi="Times New Roman"/>
                <w:sz w:val="18"/>
                <w:szCs w:val="18"/>
                <w:color w:val="auto"/>
              </w:rPr>
              <w:t>F-49</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6"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2620" w:hanging="313"/>
        <w:spacing w:after="0" w:line="496" w:lineRule="auto"/>
        <w:tabs>
          <w:tab w:leader="none" w:pos="311"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balance sheets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2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gridSpan w:val="4"/>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20" w:type="dxa"/>
            <w:vAlign w:val="bottom"/>
            <w:tcBorders>
              <w:top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5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Borders>
              <w:top w:val="single" w:sz="8" w:color="auto"/>
            </w:tcBorders>
          </w:tcPr>
          <w:p>
            <w:pPr>
              <w:jc w:val="right"/>
              <w:ind w:right="25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Convertible senior preferred shares (US$0.000002 par value; 307,692,307 and</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307,692,307 shares authorized as of December 31, 2022 and 2023, respectively;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307,692,307 and 307,692,307 issued and outstanding as of December 31,2022 and 2023,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1,578,040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1,578,040</w:t>
            </w:r>
          </w:p>
        </w:tc>
        <w:tc>
          <w:tcPr>
            <w:tcW w:w="1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1,578,040</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222,262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Class A ordinary shares (US$0.000002 par value;19,692,307,693 and 19,692,307,693</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as of December 31, 2022 and 2023, respectively, 2,079,801,956 and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2,093,280,340</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2022 and 2023, respectively)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B ordinary shares (US$0.000002 par value; 5,000,000,000 and 5,000,000,000 shares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as of December 31, 2022 and 2023, respectively; 144,778,552 and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144,778,552</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2022 and 2023, respectively)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16,073,063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16,445,195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(11,421,145)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(8,705,759)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5,049,247</w:t>
            </w:r>
          </w:p>
        </w:tc>
        <w:tc>
          <w:tcPr>
            <w:tcW w:w="1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8,136,405</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1,145,987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7,020,351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10,150,185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F-50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2620" w:hanging="313"/>
        <w:spacing w:after="0" w:line="496" w:lineRule="auto"/>
        <w:tabs>
          <w:tab w:leader="none" w:pos="31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statements of comprehensive income</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60" w:type="dxa"/>
            <w:vAlign w:val="bottom"/>
            <w:tcBorders>
              <w:bottom w:val="single" w:sz="8" w:color="auto"/>
            </w:tcBorders>
          </w:tcPr>
          <w:p>
            <w:pPr>
              <w:jc w:val="right"/>
              <w:ind w:right="253"/>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235"/>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(85,567)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(39,773)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(46,722)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expenses related to Fabricated Transactions and restructuring</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(246,410)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(69,233)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Fair value changes of derivative asset bifurcated from Series B Senior Secured</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(6,381)</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(losses)/income from subsidiaries and VIE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791,186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extinguishment of Series B Senior Secured Notes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(35,490)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(23,484)</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SEC settlement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1,146,474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equity litigants settlement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(155,314)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(279,967)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(92,192)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578,545</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488,246</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2,847,933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401,123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578,545</w:t>
            </w: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488,246</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2,847,933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401,123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 ordinary shareholders</w:t>
            </w: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578,545</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488,246</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2,847,933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401,123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5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578,545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488,246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2,847,933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net of tax of nil:</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 net of tax of nil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(69,552)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681,347</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418,694</w:t>
            </w:r>
          </w:p>
        </w:tc>
        <w:tc>
          <w:tcPr>
            <w:tcW w:w="1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2,847,573</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401,072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506"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 of RMB and US$, except for number of shares and per share data)</w:t>
      </w:r>
    </w:p>
    <w:p>
      <w:pPr>
        <w:spacing w:after="0" w:line="196" w:lineRule="exact"/>
        <w:rPr>
          <w:sz w:val="20"/>
          <w:szCs w:val="20"/>
          <w:color w:val="auto"/>
        </w:rPr>
      </w:pPr>
    </w:p>
    <w:p>
      <w:pPr>
        <w:ind w:left="320" w:right="2560" w:hanging="313"/>
        <w:spacing w:after="0" w:line="496" w:lineRule="auto"/>
        <w:tabs>
          <w:tab w:leader="none" w:pos="311"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(CONTINUED) </w:t>
      </w:r>
      <w:r>
        <w:rPr>
          <w:rFonts w:ascii="Times New Roman" w:cs="Times New Roman" w:eastAsia="Times New Roman" w:hAnsi="Times New Roman"/>
          <w:sz w:val="18"/>
          <w:szCs w:val="18"/>
          <w:b w:val="1"/>
          <w:bCs w:val="1"/>
          <w:i w:val="1"/>
          <w:iCs w:val="1"/>
          <w:color w:val="auto"/>
        </w:rPr>
        <w:t>Condensed statements of cash flows</w:t>
      </w:r>
    </w:p>
    <w:tbl>
      <w:tblPr>
        <w:tblLayout w:type="fixed"/>
        <w:tblInd w:w="320" w:type="dxa"/>
        <w:tblCellMar>
          <w:top w:w="0" w:type="dxa"/>
          <w:left w:w="0" w:type="dxa"/>
          <w:bottom w:w="0" w:type="dxa"/>
          <w:right w:w="0" w:type="dxa"/>
        </w:tblCellMar>
      </w:tblPr>
      <w:tr>
        <w:trPr>
          <w:trHeight w:val="147"/>
        </w:trPr>
        <w:tc>
          <w:tcPr>
            <w:tcW w:w="5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5"/>
          </w:tcPr>
          <w:p>
            <w:pPr>
              <w:ind w:left="300"/>
              <w:spacing w:after="0" w:line="147"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660" w:type="dxa"/>
            <w:vAlign w:val="bottom"/>
          </w:tcPr>
          <w:p>
            <w:pPr>
              <w:spacing w:after="0"/>
              <w:rPr>
                <w:sz w:val="12"/>
                <w:szCs w:val="12"/>
                <w:color w:val="auto"/>
              </w:rPr>
            </w:pPr>
          </w:p>
        </w:tc>
      </w:tr>
      <w:tr>
        <w:trPr>
          <w:trHeight w:val="170"/>
        </w:trPr>
        <w:tc>
          <w:tcPr>
            <w:tcW w:w="54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39"/>
        </w:trPr>
        <w:tc>
          <w:tcPr>
            <w:tcW w:w="546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3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2"/>
                <w:szCs w:val="12"/>
                <w:color w:val="auto"/>
              </w:rPr>
            </w:pPr>
          </w:p>
        </w:tc>
      </w:tr>
      <w:tr>
        <w:trPr>
          <w:trHeight w:val="139"/>
        </w:trPr>
        <w:tc>
          <w:tcPr>
            <w:tcW w:w="5460" w:type="dxa"/>
            <w:vAlign w:val="bottom"/>
          </w:tcPr>
          <w:p>
            <w:pPr>
              <w:spacing w:after="0"/>
              <w:rPr>
                <w:sz w:val="12"/>
                <w:szCs w:val="12"/>
                <w:color w:val="auto"/>
              </w:rPr>
            </w:pPr>
          </w:p>
        </w:tc>
        <w:tc>
          <w:tcPr>
            <w:tcW w:w="900" w:type="dxa"/>
            <w:vAlign w:val="bottom"/>
          </w:tcPr>
          <w:p>
            <w:pPr>
              <w:jc w:val="right"/>
              <w:ind w:right="196"/>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90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3"/>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Pr>
          <w:p>
            <w:pPr>
              <w:jc w:val="right"/>
              <w:ind w:right="174"/>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(25,950)</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1,514,660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(2,276,260)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2,898,290</w:t>
            </w:r>
          </w:p>
        </w:tc>
        <w:tc>
          <w:tcPr>
            <w:tcW w:w="160" w:type="dxa"/>
            <w:vAlign w:val="bottom"/>
          </w:tcPr>
          <w:p>
            <w:pPr>
              <w:spacing w:after="0"/>
              <w:rPr>
                <w:sz w:val="17"/>
                <w:szCs w:val="17"/>
                <w:color w:val="auto"/>
              </w:rPr>
            </w:pP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(2,863,299)</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(184,240)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(25,950)</w:t>
            </w:r>
          </w:p>
        </w:tc>
      </w:tr>
      <w:tr>
        <w:trPr>
          <w:trHeight w:val="21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3,078,291</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30,281</w:t>
            </w:r>
          </w:p>
        </w:tc>
      </w:tr>
      <w:tr>
        <w:trPr>
          <w:trHeight w:val="205"/>
        </w:trPr>
        <w:tc>
          <w:tcPr>
            <w:tcW w:w="5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at end of the years</w:t>
            </w: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3,078,291</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214,992</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30,752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4,331</w:t>
            </w:r>
          </w:p>
        </w:tc>
      </w:tr>
      <w:tr>
        <w:trPr>
          <w:trHeight w:val="20"/>
        </w:trPr>
        <w:tc>
          <w:tcPr>
            <w:tcW w:w="5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ind w:left="320" w:right="320"/>
        <w:spacing w:after="0" w:line="282" w:lineRule="auto"/>
        <w:rPr>
          <w:sz w:val="20"/>
          <w:szCs w:val="20"/>
          <w:color w:val="auto"/>
        </w:rPr>
      </w:pPr>
      <w:r>
        <w:rPr>
          <w:rFonts w:ascii="Times New Roman" w:cs="Times New Roman" w:eastAsia="Times New Roman" w:hAnsi="Times New Roman"/>
          <w:sz w:val="17"/>
          <w:szCs w:val="17"/>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and VIE.</w:t>
      </w:r>
    </w:p>
    <w:p>
      <w:pPr>
        <w:spacing w:after="0" w:line="159"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 xml:space="preserve">The parent company records its investments in its subsidiaries and VIE under the equity method of accounting as prescribed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Such investments are presented on the condensed balance sheets as “Investments in subsidiaries and the VIE” and their respective profit or loss as “Share of loss in subsidiaries and the VIE” on the condensed statements of comprehensive income. Equity method accounting ceases when the carrying amount of the investment, including any additional financial support, in a subsidiary or VIE is reduced to zero unless the parent company has guaranteed obligations of the subsidiary or VIE or is otherwise committed to provide further financial support. If the subsidiary or VIE subsequently reports net income, the parent company shall resume applying the equity method only after its share of that net income equals the share of net loss not recognized during the period the equity method was suspended.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subsidiaries and VIE did not pay any dividends to the Company for the years presented.</w:t>
      </w:r>
    </w:p>
    <w:p>
      <w:pPr>
        <w:spacing w:after="0" w:line="215" w:lineRule="exact"/>
        <w:rPr>
          <w:sz w:val="20"/>
          <w:szCs w:val="20"/>
          <w:color w:val="auto"/>
        </w:rPr>
      </w:pPr>
    </w:p>
    <w:p>
      <w:pPr>
        <w:ind w:left="320" w:hanging="313"/>
        <w:spacing w:after="0"/>
        <w:tabs>
          <w:tab w:leader="none" w:pos="3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19" w:lineRule="exact"/>
        <w:rPr>
          <w:rFonts w:ascii="Times New Roman" w:cs="Times New Roman" w:eastAsia="Times New Roman" w:hAnsi="Times New Roman"/>
          <w:sz w:val="18"/>
          <w:szCs w:val="18"/>
          <w:b w:val="1"/>
          <w:bCs w:val="1"/>
          <w:color w:val="auto"/>
        </w:rPr>
      </w:pPr>
    </w:p>
    <w:p>
      <w:pPr>
        <w:ind w:left="320" w:right="1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2024, 12,307,688 Senior Preferred Shares were converted to 1,538,461 ADSs at the request of the holder of such Senior Preferred Shares pursuant to the Certificate of Designation. To consummate such conversion, 12,307,688 Senior Preferred Shares had been re-designated as 12,307,688 Class A Ordinary Shares.</w:t>
      </w:r>
    </w:p>
    <w:p>
      <w:pPr>
        <w:spacing w:after="0" w:line="177" w:lineRule="exact"/>
        <w:rPr>
          <w:rFonts w:ascii="Times New Roman" w:cs="Times New Roman" w:eastAsia="Times New Roman" w:hAnsi="Times New Roman"/>
          <w:sz w:val="18"/>
          <w:szCs w:val="18"/>
          <w:b w:val="1"/>
          <w:bCs w:val="1"/>
          <w:color w:val="auto"/>
        </w:rPr>
      </w:pPr>
    </w:p>
    <w:p>
      <w:pPr>
        <w:ind w:left="32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2024, the Company terminated its contractual arrangements with VIE because (i) the foreign restricted licenses and permits held through the VIE are not necessary for the Company’s business operations as currently conducted, and (ii) the Company believes the termination of these arrangements help to optimize its corporate governance structure. Due to the termination, the financial results of the VIE will no longer be consolidated into the Company’s consolidated financial statements for accounting purpose from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860"/>
          </w:cols>
          <w:pgMar w:left="980" w:top="505" w:right="105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1"/>
          <w:szCs w:val="21"/>
          <w:b w:val="1"/>
          <w:bCs w:val="1"/>
          <w:color w:val="auto"/>
        </w:rPr>
        <w:t>Exhibit 4.11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TERMINATION AGREEMENT OF THE CONTRACTUAL AGREEMENTS</w:t>
      </w:r>
    </w:p>
    <w:p>
      <w:pPr>
        <w:spacing w:after="0" w:line="21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This Termination Agreement of the Contractual Agreements (this “Agreement”) is entered into in Beijing as of March 15, 2024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 and among the following parties:</w:t>
      </w:r>
    </w:p>
    <w:p>
      <w:pPr>
        <w:spacing w:after="0" w:line="153" w:lineRule="exact"/>
        <w:rPr>
          <w:sz w:val="20"/>
          <w:szCs w:val="20"/>
          <w:color w:val="auto"/>
        </w:rPr>
      </w:pPr>
    </w:p>
    <w:p>
      <w:pPr>
        <w:jc w:val="both"/>
        <w:ind w:left="380" w:right="20" w:hanging="373"/>
        <w:spacing w:after="0" w:line="240" w:lineRule="exact"/>
        <w:tabs>
          <w:tab w:leader="none" w:pos="3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Luckin Coffee (Beijing) Limited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WFOE</w:t>
      </w:r>
      <w:r>
        <w:rPr>
          <w:rFonts w:ascii="Times New Roman" w:cs="Times New Roman" w:eastAsia="Times New Roman" w:hAnsi="Times New Roman"/>
          <w:sz w:val="19"/>
          <w:szCs w:val="19"/>
          <w:color w:val="auto"/>
        </w:rPr>
        <w:t>”), a wholly foreign-owned enterprise registered in Beijing, the People's Republic of China (“</w:t>
      </w:r>
      <w:r>
        <w:rPr>
          <w:rFonts w:ascii="Times New Roman" w:cs="Times New Roman" w:eastAsia="Times New Roman" w:hAnsi="Times New Roman"/>
          <w:sz w:val="19"/>
          <w:szCs w:val="19"/>
          <w:b w:val="1"/>
          <w:bCs w:val="1"/>
          <w:color w:val="auto"/>
        </w:rPr>
        <w:t>China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PRC</w:t>
      </w:r>
      <w:r>
        <w:rPr>
          <w:rFonts w:ascii="Times New Roman" w:cs="Times New Roman" w:eastAsia="Times New Roman" w:hAnsi="Times New Roman"/>
          <w:sz w:val="19"/>
          <w:szCs w:val="19"/>
          <w:color w:val="auto"/>
        </w:rPr>
        <w:t>”, for the purpose of this Agreement only, excluding the Hong Kong Special Administrative Region, the Macau Special Administrative Region and the Taiwan region), under the laws of China.</w:t>
      </w:r>
    </w:p>
    <w:p>
      <w:pPr>
        <w:spacing w:after="0" w:line="182" w:lineRule="exact"/>
        <w:rPr>
          <w:rFonts w:ascii="Times New Roman" w:cs="Times New Roman" w:eastAsia="Times New Roman" w:hAnsi="Times New Roman"/>
          <w:sz w:val="19"/>
          <w:szCs w:val="19"/>
          <w:color w:val="auto"/>
        </w:rPr>
      </w:pPr>
    </w:p>
    <w:p>
      <w:pPr>
        <w:ind w:left="380" w:hanging="373"/>
        <w:spacing w:after="0" w:line="289" w:lineRule="auto"/>
        <w:tabs>
          <w:tab w:leader="none" w:pos="3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Beijing Luckin Coffee Technology Ltd. (the “</w:t>
      </w:r>
      <w:r>
        <w:rPr>
          <w:rFonts w:ascii="Times New Roman" w:cs="Times New Roman" w:eastAsia="Times New Roman" w:hAnsi="Times New Roman"/>
          <w:sz w:val="19"/>
          <w:szCs w:val="19"/>
          <w:b w:val="1"/>
          <w:bCs w:val="1"/>
          <w:color w:val="auto"/>
        </w:rPr>
        <w:t>Luckin Tech</w:t>
      </w:r>
      <w:r>
        <w:rPr>
          <w:rFonts w:ascii="Times New Roman" w:cs="Times New Roman" w:eastAsia="Times New Roman" w:hAnsi="Times New Roman"/>
          <w:sz w:val="19"/>
          <w:szCs w:val="19"/>
          <w:color w:val="auto"/>
        </w:rPr>
        <w:t>”), a domestic company registered in Beijing, China, under the laws of China.</w:t>
      </w:r>
    </w:p>
    <w:p>
      <w:pPr>
        <w:spacing w:after="0" w:line="140" w:lineRule="exact"/>
        <w:rPr>
          <w:rFonts w:ascii="Times New Roman" w:cs="Times New Roman" w:eastAsia="Times New Roman" w:hAnsi="Times New Roman"/>
          <w:sz w:val="19"/>
          <w:szCs w:val="19"/>
          <w:color w:val="auto"/>
        </w:rPr>
      </w:pPr>
    </w:p>
    <w:p>
      <w:pPr>
        <w:ind w:left="380" w:hanging="373"/>
        <w:spacing w:after="0"/>
        <w:tabs>
          <w:tab w:leader="none" w:pos="3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Jinyi Guo, ID No. [  ], shareholder of Luckin Tech.</w:t>
      </w:r>
    </w:p>
    <w:p>
      <w:pPr>
        <w:spacing w:after="0" w:line="219" w:lineRule="exact"/>
        <w:rPr>
          <w:sz w:val="20"/>
          <w:szCs w:val="20"/>
          <w:color w:val="auto"/>
        </w:rPr>
      </w:pPr>
    </w:p>
    <w:p>
      <w:pPr>
        <w:ind w:left="340"/>
        <w:spacing w:after="0"/>
        <w:tabs>
          <w:tab w:leader="none" w:pos="2020" w:val="left"/>
        </w:tabs>
        <w:rPr>
          <w:sz w:val="20"/>
          <w:szCs w:val="20"/>
          <w:color w:val="auto"/>
        </w:rPr>
      </w:pPr>
      <w:r>
        <w:rPr>
          <w:rFonts w:ascii="Times New Roman" w:cs="Times New Roman" w:eastAsia="Times New Roman" w:hAnsi="Times New Roman"/>
          <w:sz w:val="19"/>
          <w:szCs w:val="19"/>
          <w:color w:val="auto"/>
        </w:rPr>
        <w:t>Gang Wu, ID No. [</w:t>
        <w:tab/>
        <w:t>], shareholder of Luckin Tech.</w:t>
      </w:r>
    </w:p>
    <w:p>
      <w:pPr>
        <w:spacing w:after="0" w:line="21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9"/>
          <w:szCs w:val="19"/>
          <w:color w:val="auto"/>
        </w:rPr>
        <w:t>In this Agreement, each of WFOE, Luckin Tech and each of the Shareholders is referred to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27" w:name="page228"/>
    <w:bookmarkEnd w:id="227"/>
    <w:p>
      <w:pPr>
        <w:spacing w:after="0" w:line="219" w:lineRule="exact"/>
        <w:rPr>
          <w:sz w:val="20"/>
          <w:szCs w:val="20"/>
          <w:color w:val="auto"/>
        </w:rPr>
      </w:pPr>
      <w:r>
        <w:rPr>
          <w:rFonts w:ascii="Times New Roman" w:cs="Times New Roman" w:eastAsia="Times New Roman" w:hAnsi="Times New Roman"/>
          <w:sz w:val="19"/>
          <w:szCs w:val="19"/>
          <w:b w:val="1"/>
          <w:bCs w:val="1"/>
          <w:color w:val="auto"/>
        </w:rPr>
        <w:t>WHEREAS</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-92075</wp:posOffset>
            </wp:positionV>
            <wp:extent cx="44450" cy="933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44450" cy="93345"/>
                    </a:xfrm>
                    <a:prstGeom prst="rect">
                      <a:avLst/>
                    </a:prstGeom>
                    <a:noFill/>
                  </pic:spPr>
                </pic:pic>
              </a:graphicData>
            </a:graphic>
          </wp:anchor>
        </w:drawing>
      </w:r>
    </w:p>
    <w:p>
      <w:pPr>
        <w:spacing w:after="0" w:line="216" w:lineRule="exact"/>
        <w:rPr>
          <w:sz w:val="20"/>
          <w:szCs w:val="20"/>
          <w:color w:val="auto"/>
        </w:rPr>
      </w:pPr>
    </w:p>
    <w:p>
      <w:pPr>
        <w:ind w:left="380" w:hanging="373"/>
        <w:spacing w:after="0" w:line="285" w:lineRule="auto"/>
        <w:tabs>
          <w:tab w:leader="none" w:pos="3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aforementioned and other related parties have entered into a series of contractual agreements (listed in the Appendix 1 of this Memo, collectively, the “</w:t>
      </w:r>
      <w:r>
        <w:rPr>
          <w:rFonts w:ascii="Times New Roman" w:cs="Times New Roman" w:eastAsia="Times New Roman" w:hAnsi="Times New Roman"/>
          <w:sz w:val="19"/>
          <w:szCs w:val="19"/>
          <w:b w:val="1"/>
          <w:bCs w:val="1"/>
          <w:color w:val="auto"/>
        </w:rPr>
        <w:t>Contractual Agreements</w:t>
      </w:r>
      <w:r>
        <w:rPr>
          <w:rFonts w:ascii="Times New Roman" w:cs="Times New Roman" w:eastAsia="Times New Roman" w:hAnsi="Times New Roman"/>
          <w:sz w:val="19"/>
          <w:szCs w:val="19"/>
          <w:color w:val="auto"/>
        </w:rPr>
        <w:t>”) before.</w:t>
      </w:r>
    </w:p>
    <w:p>
      <w:pPr>
        <w:spacing w:after="0" w:line="143" w:lineRule="exact"/>
        <w:rPr>
          <w:rFonts w:ascii="Times New Roman" w:cs="Times New Roman" w:eastAsia="Times New Roman" w:hAnsi="Times New Roman"/>
          <w:sz w:val="19"/>
          <w:szCs w:val="19"/>
          <w:color w:val="auto"/>
        </w:rPr>
      </w:pPr>
    </w:p>
    <w:p>
      <w:pPr>
        <w:ind w:left="380" w:hanging="373"/>
        <w:spacing w:after="0"/>
        <w:tabs>
          <w:tab w:leader="none" w:pos="3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agree to terminate the Contractual Agreements in accordance with this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the Parties hereby agree as follows: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19" w:lineRule="exact"/>
        <w:rPr>
          <w:sz w:val="20"/>
          <w:szCs w:val="20"/>
          <w:color w:val="auto"/>
        </w:rPr>
      </w:pPr>
    </w:p>
    <w:p>
      <w:pPr>
        <w:jc w:val="both"/>
        <w:ind w:left="340" w:right="5900" w:hanging="333"/>
        <w:spacing w:after="0" w:line="482" w:lineRule="auto"/>
        <w:tabs>
          <w:tab w:leader="none" w:pos="318"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the Contractual Agreements </w:t>
      </w:r>
      <w:r>
        <w:rPr>
          <w:rFonts w:ascii="Times New Roman" w:cs="Times New Roman" w:eastAsia="Times New Roman" w:hAnsi="Times New Roman"/>
          <w:sz w:val="19"/>
          <w:szCs w:val="19"/>
          <w:color w:val="auto"/>
        </w:rPr>
        <w:t>The Parties irrevocably agree and confirm that:</w:t>
      </w:r>
    </w:p>
    <w:p>
      <w:pPr>
        <w:spacing w:after="0" w:line="1" w:lineRule="exact"/>
        <w:rPr>
          <w:sz w:val="20"/>
          <w:szCs w:val="20"/>
          <w:color w:val="auto"/>
        </w:rPr>
      </w:pPr>
    </w:p>
    <w:p>
      <w:pPr>
        <w:jc w:val="both"/>
        <w:ind w:left="320" w:hanging="317"/>
        <w:spacing w:after="0" w:line="258" w:lineRule="auto"/>
        <w:rPr>
          <w:sz w:val="20"/>
          <w:szCs w:val="20"/>
          <w:color w:val="auto"/>
        </w:rPr>
      </w:pPr>
      <w:r>
        <w:rPr>
          <w:rFonts w:ascii="Times New Roman" w:cs="Times New Roman" w:eastAsia="Times New Roman" w:hAnsi="Times New Roman"/>
          <w:sz w:val="19"/>
          <w:szCs w:val="19"/>
          <w:color w:val="auto"/>
        </w:rPr>
        <w:t>1.1 As of the Effective Date, the Contractual Agreements listed in the Appendix 1 hereto shall be terminated and all the rights and obligations of the Parties set forth in such Contractual Agreements shall be unconditionally and irrevocably of no further force. Each Party shall, immediately after the termination, apply to the competent Market Supervision and Administration Authority for the termination of the pledge registration of the shares carried out under the Share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28" w:name="page229"/>
    <w:bookmarkEnd w:id="228"/>
    <w:p>
      <w:pPr>
        <w:jc w:val="both"/>
        <w:ind w:left="373" w:hanging="370"/>
        <w:spacing w:after="0" w:line="259" w:lineRule="auto"/>
        <w:rPr>
          <w:sz w:val="20"/>
          <w:szCs w:val="20"/>
          <w:color w:val="auto"/>
        </w:rPr>
      </w:pPr>
      <w:r>
        <w:rPr>
          <w:rFonts w:ascii="Times New Roman" w:cs="Times New Roman" w:eastAsia="Times New Roman" w:hAnsi="Times New Roman"/>
          <w:sz w:val="19"/>
          <w:szCs w:val="19"/>
          <w:color w:val="auto"/>
        </w:rPr>
        <w:t>1.2 Each Party hereby irrevocably and unconditionally releases the other Parties from any liabilities arising out of any and all disputes, claims, demands, rights, obligations, liabilities, actions, contracts or cause of actions of any kind or nature whatsoever, past, present or in the future, which such Party has or may have, directly or indirectly, in connection with or arising out of all and/or any of the Contractual Agreements.</w:t>
      </w:r>
    </w:p>
    <w:p>
      <w:pPr>
        <w:spacing w:after="0" w:line="169" w:lineRule="exact"/>
        <w:rPr>
          <w:sz w:val="20"/>
          <w:szCs w:val="20"/>
          <w:color w:val="auto"/>
        </w:rPr>
      </w:pPr>
    </w:p>
    <w:p>
      <w:pPr>
        <w:jc w:val="both"/>
        <w:ind w:left="373" w:hanging="370"/>
        <w:spacing w:after="0" w:line="285" w:lineRule="auto"/>
        <w:rPr>
          <w:sz w:val="20"/>
          <w:szCs w:val="20"/>
          <w:color w:val="auto"/>
        </w:rPr>
      </w:pPr>
      <w:r>
        <w:rPr>
          <w:rFonts w:ascii="Times New Roman" w:cs="Times New Roman" w:eastAsia="Times New Roman" w:hAnsi="Times New Roman"/>
          <w:sz w:val="19"/>
          <w:szCs w:val="19"/>
          <w:color w:val="auto"/>
        </w:rPr>
        <w:t>1.3 As of the Effective Date, each Party shall no longer be entitled to any rights and be required to perform the corresponding obligations under the Contractual Agreements.</w:t>
      </w:r>
    </w:p>
    <w:p>
      <w:pPr>
        <w:spacing w:after="0" w:line="144" w:lineRule="exact"/>
        <w:rPr>
          <w:sz w:val="20"/>
          <w:szCs w:val="20"/>
          <w:color w:val="auto"/>
        </w:rPr>
      </w:pPr>
    </w:p>
    <w:p>
      <w:pPr>
        <w:jc w:val="both"/>
        <w:ind w:left="373" w:hanging="370"/>
        <w:spacing w:after="0" w:line="255" w:lineRule="auto"/>
        <w:rPr>
          <w:sz w:val="20"/>
          <w:szCs w:val="20"/>
          <w:color w:val="auto"/>
        </w:rPr>
      </w:pPr>
      <w:r>
        <w:rPr>
          <w:rFonts w:ascii="Times New Roman" w:cs="Times New Roman" w:eastAsia="Times New Roman" w:hAnsi="Times New Roman"/>
          <w:sz w:val="19"/>
          <w:szCs w:val="19"/>
          <w:color w:val="auto"/>
        </w:rPr>
        <w:t>1.4 Without prejudice to the Section 1.1, 1.2 and 1.3 of “1. Termination of the Contractual Agreements” hereunder, each Party confirms as of the Effective Date that, it and its heirs, successors, assigns or executors shall waive any and all promises, consents, acknowledgments, claims, obligations and liabilities of any kind or nature whatsoever, which it or its heirs, successors, assigns or executors had or may have in the past, present or future against the other Parties and his/its heirs, successors, assigns or executors, in connection with or arising out of the Contractual Agreements whether instituted or not, absolute or contingent, known or unknown.</w:t>
      </w:r>
    </w:p>
    <w:p>
      <w:pPr>
        <w:spacing w:after="0" w:line="167" w:lineRule="exact"/>
        <w:rPr>
          <w:sz w:val="20"/>
          <w:szCs w:val="20"/>
          <w:color w:val="auto"/>
        </w:rPr>
      </w:pPr>
    </w:p>
    <w:p>
      <w:pPr>
        <w:ind w:left="373" w:hanging="373"/>
        <w:spacing w:after="0"/>
        <w:tabs>
          <w:tab w:leader="none" w:pos="373"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Representations and Warranties</w:t>
      </w:r>
    </w:p>
    <w:p>
      <w:pPr>
        <w:spacing w:after="0" w:line="223" w:lineRule="exact"/>
        <w:rPr>
          <w:sz w:val="20"/>
          <w:szCs w:val="20"/>
          <w:color w:val="auto"/>
        </w:rPr>
      </w:pPr>
    </w:p>
    <w:p>
      <w:pPr>
        <w:ind w:left="333"/>
        <w:spacing w:after="0"/>
        <w:rPr>
          <w:sz w:val="20"/>
          <w:szCs w:val="20"/>
          <w:color w:val="auto"/>
        </w:rPr>
      </w:pPr>
      <w:r>
        <w:rPr>
          <w:rFonts w:ascii="Times New Roman" w:cs="Times New Roman" w:eastAsia="Times New Roman" w:hAnsi="Times New Roman"/>
          <w:sz w:val="19"/>
          <w:szCs w:val="19"/>
          <w:color w:val="auto"/>
        </w:rPr>
        <w:t>Each Party hereby represents and warrants as follows to the other Parties that:</w:t>
      </w:r>
    </w:p>
    <w:p>
      <w:pPr>
        <w:spacing w:after="0" w:line="219" w:lineRule="exact"/>
        <w:rPr>
          <w:sz w:val="20"/>
          <w:szCs w:val="20"/>
          <w:color w:val="auto"/>
        </w:rPr>
      </w:pPr>
    </w:p>
    <w:p>
      <w:pPr>
        <w:ind w:left="373" w:hanging="370"/>
        <w:spacing w:after="0" w:line="285" w:lineRule="auto"/>
        <w:rPr>
          <w:sz w:val="20"/>
          <w:szCs w:val="20"/>
          <w:color w:val="auto"/>
        </w:rPr>
      </w:pPr>
      <w:r>
        <w:rPr>
          <w:rFonts w:ascii="Times New Roman" w:cs="Times New Roman" w:eastAsia="Times New Roman" w:hAnsi="Times New Roman"/>
          <w:sz w:val="19"/>
          <w:szCs w:val="19"/>
          <w:color w:val="auto"/>
        </w:rPr>
        <w:t>2.1 Such Party has full legitimate right, power and authority to execute this Agreement and all agreements and documents to which it is a party as referred herein, and such execution is the true representation of such Party's intent.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13"/>
          </w:cols>
          <w:pgMar w:left="987" w:top="118" w:right="999" w:bottom="1440" w:gutter="0" w:footer="0" w:header="0"/>
        </w:sectPr>
      </w:pPr>
    </w:p>
    <w:bookmarkStart w:id="229" w:name="page230"/>
    <w:bookmarkEnd w:id="229"/>
    <w:p>
      <w:pPr>
        <w:jc w:val="both"/>
        <w:ind w:left="373" w:hanging="370"/>
        <w:spacing w:after="0" w:line="265" w:lineRule="auto"/>
        <w:rPr>
          <w:sz w:val="20"/>
          <w:szCs w:val="20"/>
          <w:color w:val="auto"/>
        </w:rPr>
      </w:pPr>
      <w:r>
        <w:rPr>
          <w:rFonts w:ascii="Times New Roman" w:cs="Times New Roman" w:eastAsia="Times New Roman" w:hAnsi="Times New Roman"/>
          <w:sz w:val="19"/>
          <w:szCs w:val="19"/>
          <w:color w:val="auto"/>
        </w:rPr>
        <w:t>2.2 The execution and performance of this Agreement shall not constitute a breach by such Party of any of its constitutional documents, agreements and licences to which it is a party or by which it is bound, nor does it result in a breach of, or require the obtaining of, any judgement, decree, order or consent of any court, governmental or regulatory authority.</w:t>
      </w:r>
    </w:p>
    <w:p>
      <w:pPr>
        <w:spacing w:after="0" w:line="163" w:lineRule="exact"/>
        <w:rPr>
          <w:sz w:val="20"/>
          <w:szCs w:val="20"/>
          <w:color w:val="auto"/>
        </w:rPr>
      </w:pPr>
    </w:p>
    <w:p>
      <w:pPr>
        <w:jc w:val="both"/>
        <w:ind w:left="373" w:hanging="370"/>
        <w:spacing w:after="0" w:line="266" w:lineRule="auto"/>
        <w:rPr>
          <w:sz w:val="20"/>
          <w:szCs w:val="20"/>
          <w:color w:val="auto"/>
        </w:rPr>
      </w:pPr>
      <w:r>
        <w:rPr>
          <w:rFonts w:ascii="Times New Roman" w:cs="Times New Roman" w:eastAsia="Times New Roman" w:hAnsi="Times New Roman"/>
          <w:sz w:val="19"/>
          <w:szCs w:val="19"/>
          <w:color w:val="auto"/>
        </w:rPr>
        <w:t>2.3 Such Party has obtained all consents, approvals and authorizations necessary for the execution of this Agreement and all agreements and documents to which it is a party referred to herein and for the compliance and performance of its obligations hereunder and under such other agreements and documents.</w:t>
      </w:r>
    </w:p>
    <w:p>
      <w:pPr>
        <w:spacing w:after="0" w:line="157" w:lineRule="exact"/>
        <w:rPr>
          <w:sz w:val="20"/>
          <w:szCs w:val="20"/>
          <w:color w:val="auto"/>
        </w:rPr>
      </w:pPr>
    </w:p>
    <w:p>
      <w:pPr>
        <w:ind w:left="373" w:hanging="373"/>
        <w:spacing w:after="0"/>
        <w:tabs>
          <w:tab w:leader="none" w:pos="373"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Promise</w:t>
      </w:r>
    </w:p>
    <w:p>
      <w:pPr>
        <w:spacing w:after="0" w:line="223" w:lineRule="exact"/>
        <w:rPr>
          <w:sz w:val="20"/>
          <w:szCs w:val="20"/>
          <w:color w:val="auto"/>
        </w:rPr>
      </w:pPr>
    </w:p>
    <w:p>
      <w:pPr>
        <w:jc w:val="both"/>
        <w:ind w:left="373" w:hanging="370"/>
        <w:spacing w:after="0" w:line="256" w:lineRule="auto"/>
        <w:rPr>
          <w:sz w:val="20"/>
          <w:szCs w:val="20"/>
          <w:color w:val="auto"/>
        </w:rPr>
      </w:pPr>
      <w:r>
        <w:rPr>
          <w:rFonts w:ascii="Times New Roman" w:cs="Times New Roman" w:eastAsia="Times New Roman" w:hAnsi="Times New Roman"/>
          <w:sz w:val="19"/>
          <w:szCs w:val="19"/>
          <w:color w:val="auto"/>
        </w:rPr>
        <w:t>3.1 In order to successfully complete the discharge of the rights and obligations under the Contractual Agreements, each Party shall execute all necessary or appropriate documents and take all necessary or appropriate actions to actively cooperate with the other Parties in obtaining the relevant regulatory approvals and/or registration documents for the relevant termination procedures, including but not limited to carrying out relevant registration procedures for the termination of the pledge registration of the shares and equity transfers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13"/>
          </w:cols>
          <w:pgMar w:left="987" w:top="118" w:right="999" w:bottom="1440" w:gutter="0" w:footer="0" w:header="0"/>
        </w:sectPr>
      </w:pPr>
    </w:p>
    <w:bookmarkStart w:id="230" w:name="page231"/>
    <w:bookmarkEnd w:id="230"/>
    <w:p>
      <w:pPr>
        <w:ind w:left="373" w:hanging="373"/>
        <w:spacing w:after="0"/>
        <w:tabs>
          <w:tab w:leader="none" w:pos="373" w:val="left"/>
        </w:tabs>
        <w:numPr>
          <w:ilvl w:val="0"/>
          <w:numId w:val="1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Governing Law and Dispute Resolution</w:t>
      </w:r>
    </w:p>
    <w:p>
      <w:pPr>
        <w:spacing w:after="0" w:line="222" w:lineRule="exact"/>
        <w:rPr>
          <w:sz w:val="20"/>
          <w:szCs w:val="20"/>
          <w:color w:val="auto"/>
        </w:rPr>
      </w:pPr>
    </w:p>
    <w:p>
      <w:pPr>
        <w:jc w:val="both"/>
        <w:ind w:left="373" w:right="20" w:hanging="370"/>
        <w:spacing w:after="0" w:line="285" w:lineRule="auto"/>
        <w:rPr>
          <w:sz w:val="20"/>
          <w:szCs w:val="20"/>
          <w:color w:val="auto"/>
        </w:rPr>
      </w:pPr>
      <w:r>
        <w:rPr>
          <w:rFonts w:ascii="Times New Roman" w:cs="Times New Roman" w:eastAsia="Times New Roman" w:hAnsi="Times New Roman"/>
          <w:sz w:val="19"/>
          <w:szCs w:val="19"/>
          <w:color w:val="auto"/>
        </w:rPr>
        <w:t>4.1 The execution, effectiveness, interpretation and performance of this Agreement and the settlement of disputes hereunder shall be governed by the laws of China.</w:t>
      </w:r>
    </w:p>
    <w:p>
      <w:pPr>
        <w:spacing w:after="0" w:line="144" w:lineRule="exact"/>
        <w:rPr>
          <w:sz w:val="20"/>
          <w:szCs w:val="20"/>
          <w:color w:val="auto"/>
        </w:rPr>
      </w:pPr>
    </w:p>
    <w:p>
      <w:pPr>
        <w:jc w:val="both"/>
        <w:ind w:left="373" w:hanging="370"/>
        <w:spacing w:after="0" w:line="258" w:lineRule="auto"/>
        <w:rPr>
          <w:sz w:val="20"/>
          <w:szCs w:val="20"/>
          <w:color w:val="auto"/>
        </w:rPr>
      </w:pPr>
      <w:r>
        <w:rPr>
          <w:rFonts w:ascii="Times New Roman" w:cs="Times New Roman" w:eastAsia="Times New Roman" w:hAnsi="Times New Roman"/>
          <w:sz w:val="19"/>
          <w:szCs w:val="19"/>
          <w:color w:val="auto"/>
        </w:rPr>
        <w:t>4.2 Any dispute or claim in connection with the interpretation and performance of this Agreement shall be resolved by the Parties in good faith through negotiations. In case no resolution can be reached by the Parties, such dispute shall be submitted to the Beijing Arbitration Commission for arbitration in accordance with its rules of arbitration in effect at the time of applying for arbitration and the place of arbitration shall be in Beijing. The arbitral shall be final and binding upon all Parties.</w:t>
      </w:r>
    </w:p>
    <w:p>
      <w:pPr>
        <w:spacing w:after="0" w:line="399" w:lineRule="exact"/>
        <w:rPr>
          <w:sz w:val="20"/>
          <w:szCs w:val="20"/>
          <w:color w:val="auto"/>
        </w:rPr>
      </w:pPr>
    </w:p>
    <w:p>
      <w:pPr>
        <w:jc w:val="both"/>
        <w:ind w:left="373" w:hanging="370"/>
        <w:spacing w:after="0" w:line="266" w:lineRule="auto"/>
        <w:rPr>
          <w:sz w:val="20"/>
          <w:szCs w:val="20"/>
          <w:color w:val="auto"/>
        </w:rPr>
      </w:pPr>
      <w:r>
        <w:rPr>
          <w:rFonts w:ascii="Times New Roman" w:cs="Times New Roman" w:eastAsia="Times New Roman" w:hAnsi="Times New Roman"/>
          <w:sz w:val="19"/>
          <w:szCs w:val="19"/>
          <w:color w:val="auto"/>
        </w:rPr>
        <w:t>4.3 In the event of any dispute arising out of the interpretation and performance of this Agreement or in the event that any dispute is under arbitration, the Parties hereto shall continue to exercise their respective rights and perform their respective obligations hereunder, except as to the matter in dispute.</w:t>
      </w:r>
    </w:p>
    <w:p>
      <w:pPr>
        <w:spacing w:after="0" w:line="157" w:lineRule="exact"/>
        <w:rPr>
          <w:sz w:val="20"/>
          <w:szCs w:val="20"/>
          <w:color w:val="auto"/>
        </w:rPr>
      </w:pPr>
    </w:p>
    <w:p>
      <w:pPr>
        <w:ind w:left="373" w:hanging="373"/>
        <w:spacing w:after="0"/>
        <w:tabs>
          <w:tab w:leader="none" w:pos="373" w:val="left"/>
        </w:tabs>
        <w:numPr>
          <w:ilvl w:val="0"/>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Confidentiality</w:t>
      </w:r>
    </w:p>
    <w:p>
      <w:pPr>
        <w:spacing w:after="0" w:line="223" w:lineRule="exact"/>
        <w:rPr>
          <w:sz w:val="20"/>
          <w:szCs w:val="20"/>
          <w:color w:val="auto"/>
        </w:rPr>
      </w:pPr>
    </w:p>
    <w:p>
      <w:pPr>
        <w:jc w:val="both"/>
        <w:ind w:left="373" w:hanging="370"/>
        <w:spacing w:after="0" w:line="266" w:lineRule="auto"/>
        <w:rPr>
          <w:sz w:val="20"/>
          <w:szCs w:val="20"/>
          <w:color w:val="auto"/>
        </w:rPr>
      </w:pPr>
      <w:r>
        <w:rPr>
          <w:rFonts w:ascii="Times New Roman" w:cs="Times New Roman" w:eastAsia="Times New Roman" w:hAnsi="Times New Roman"/>
          <w:sz w:val="19"/>
          <w:szCs w:val="19"/>
          <w:color w:val="auto"/>
        </w:rPr>
        <w:t>5.1 Each Party is bound by the duty of confidentiality regarding this Agreement and its contents, and neither party shall disclose any matter relating to this Agreement to any third party without the written consent of the other Parties, except to the extent that such disclosure is made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13"/>
          </w:cols>
          <w:pgMar w:left="987" w:top="114" w:right="999" w:bottom="1440" w:gutter="0" w:footer="0" w:header="0"/>
        </w:sectPr>
      </w:pPr>
    </w:p>
    <w:bookmarkStart w:id="231" w:name="page232"/>
    <w:bookmarkEnd w:id="231"/>
    <w:p>
      <w:pPr>
        <w:jc w:val="both"/>
        <w:ind w:left="780" w:hanging="389"/>
        <w:spacing w:after="0" w:line="265" w:lineRule="auto"/>
        <w:tabs>
          <w:tab w:leader="none" w:pos="7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to the auditors, lawyers and other professional personnel engaged in the ordinary course of operation, provided that such personnel are under the duty of confidentiality regarding to relevant information of this Agreement that comes to their knowledge in the course of performing their duties.</w:t>
      </w:r>
    </w:p>
    <w:p>
      <w:pPr>
        <w:spacing w:after="0" w:line="163" w:lineRule="exact"/>
        <w:rPr>
          <w:rFonts w:ascii="Times New Roman" w:cs="Times New Roman" w:eastAsia="Times New Roman" w:hAnsi="Times New Roman"/>
          <w:sz w:val="19"/>
          <w:szCs w:val="19"/>
          <w:color w:val="auto"/>
        </w:rPr>
      </w:pPr>
    </w:p>
    <w:p>
      <w:pPr>
        <w:jc w:val="both"/>
        <w:ind w:left="780" w:hanging="389"/>
        <w:spacing w:after="0" w:line="255" w:lineRule="auto"/>
        <w:tabs>
          <w:tab w:leader="none" w:pos="78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or documents disclosed are publicly available, or such disclosure is expressly required by laws, regulations or relevant security authorities, provided that any Party intending to disclose any information shall notify the other Parties in writing 5 working days in advance, the other Parties shall response within 5 working days, and no disclosure shall be made without the consent of the other Parties. If either Party decides to disclose or has disclosed any information regarding another Party without the written consent of such Party which results in damages to such Party, such Party shall be entitled to hold the disclosing party liable for damages.</w:t>
      </w:r>
    </w:p>
    <w:p>
      <w:pPr>
        <w:spacing w:after="0" w:line="167" w:lineRule="exact"/>
        <w:rPr>
          <w:sz w:val="20"/>
          <w:szCs w:val="20"/>
          <w:color w:val="auto"/>
        </w:rPr>
      </w:pPr>
    </w:p>
    <w:p>
      <w:pPr>
        <w:ind w:left="380" w:hanging="373"/>
        <w:spacing w:after="0"/>
        <w:tabs>
          <w:tab w:leader="none" w:pos="380" w:val="left"/>
        </w:tabs>
        <w:numPr>
          <w:ilvl w:val="0"/>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6.1  This Agreement shall take effect as of the Effective Date upon the duly execution of the Parties.</w:t>
      </w:r>
    </w:p>
    <w:p>
      <w:pPr>
        <w:spacing w:after="0" w:line="219" w:lineRule="exact"/>
        <w:rPr>
          <w:sz w:val="20"/>
          <w:szCs w:val="20"/>
          <w:color w:val="auto"/>
        </w:rPr>
      </w:pPr>
    </w:p>
    <w:p>
      <w:pPr>
        <w:ind w:left="380" w:hanging="370"/>
        <w:spacing w:after="0" w:line="285" w:lineRule="auto"/>
        <w:rPr>
          <w:sz w:val="20"/>
          <w:szCs w:val="20"/>
          <w:color w:val="auto"/>
        </w:rPr>
      </w:pPr>
      <w:r>
        <w:rPr>
          <w:rFonts w:ascii="Times New Roman" w:cs="Times New Roman" w:eastAsia="Times New Roman" w:hAnsi="Times New Roman"/>
          <w:sz w:val="19"/>
          <w:szCs w:val="19"/>
          <w:color w:val="auto"/>
        </w:rPr>
        <w:t>6.2 This Agreement may be amended or modified by mutual consent of the Parties hereto. Any amendment or modification shall be in writing and shall be effective upon duly execution of the Parties.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2" w:name="page233"/>
    <w:bookmarkEnd w:id="232"/>
    <w:p>
      <w:pPr>
        <w:jc w:val="both"/>
        <w:ind w:left="360" w:hanging="370"/>
        <w:spacing w:after="0" w:line="266" w:lineRule="auto"/>
        <w:rPr>
          <w:sz w:val="20"/>
          <w:szCs w:val="20"/>
          <w:color w:val="auto"/>
        </w:rPr>
      </w:pPr>
      <w:r>
        <w:rPr>
          <w:rFonts w:ascii="Times New Roman" w:cs="Times New Roman" w:eastAsia="Times New Roman" w:hAnsi="Times New Roman"/>
          <w:sz w:val="19"/>
          <w:szCs w:val="19"/>
          <w:color w:val="auto"/>
        </w:rPr>
        <w:t>6.3 If any provision of this Agreement is found to be invalid or unenforceable, such provision shall be deemed severable from this Agreement without affecting the validity of the remaining provisions of this Agreement. And the Parties shall, to the extent legally possible, negotiate new provisions to achieve as nearly as possible the intent of the original provision.</w:t>
      </w:r>
    </w:p>
    <w:p>
      <w:pPr>
        <w:spacing w:after="0" w:line="161" w:lineRule="exact"/>
        <w:rPr>
          <w:sz w:val="20"/>
          <w:szCs w:val="20"/>
          <w:color w:val="auto"/>
        </w:rPr>
      </w:pPr>
    </w:p>
    <w:p>
      <w:pPr>
        <w:jc w:val="both"/>
        <w:ind w:left="360" w:hanging="370"/>
        <w:spacing w:after="0" w:line="266" w:lineRule="auto"/>
        <w:rPr>
          <w:sz w:val="20"/>
          <w:szCs w:val="20"/>
          <w:color w:val="auto"/>
        </w:rPr>
      </w:pPr>
      <w:r>
        <w:rPr>
          <w:rFonts w:ascii="Times New Roman" w:cs="Times New Roman" w:eastAsia="Times New Roman" w:hAnsi="Times New Roman"/>
          <w:sz w:val="19"/>
          <w:szCs w:val="19"/>
          <w:color w:val="auto"/>
        </w:rPr>
        <w:t>6.4 Except as otherwise provided in the Agreement, the failure of a Party to exercise or delay in exercising any right, power or privilege hereunder shall not operate as a waiver of such right, power or privilege, nor shall the exercise of any such right, power or privilege, in whole or in part, preclude the exercise of any other right, power or privilege.</w:t>
      </w:r>
    </w:p>
    <w:p>
      <w:pPr>
        <w:spacing w:after="0" w:line="161" w:lineRule="exact"/>
        <w:rPr>
          <w:sz w:val="20"/>
          <w:szCs w:val="20"/>
          <w:color w:val="auto"/>
        </w:rPr>
      </w:pPr>
    </w:p>
    <w:p>
      <w:pPr>
        <w:jc w:val="both"/>
        <w:ind w:left="360" w:hanging="370"/>
        <w:spacing w:after="0" w:line="260" w:lineRule="auto"/>
        <w:rPr>
          <w:sz w:val="20"/>
          <w:szCs w:val="20"/>
          <w:color w:val="auto"/>
        </w:rPr>
      </w:pPr>
      <w:r>
        <w:rPr>
          <w:rFonts w:ascii="Times New Roman" w:cs="Times New Roman" w:eastAsia="Times New Roman" w:hAnsi="Times New Roman"/>
          <w:sz w:val="19"/>
          <w:szCs w:val="19"/>
          <w:color w:val="auto"/>
        </w:rPr>
        <w:t>6.5 This Agreement and all agreements and/or documents mentioned or included explicitly by this Agreement constitute the complete agreement with respect to the subject matter of this Agreement and shall supersede any and all prior oral agreements, contracts, understandings and communications made by the Parties with respect to the subject matter of this Agreement.</w:t>
      </w:r>
    </w:p>
    <w:p>
      <w:pPr>
        <w:spacing w:after="0" w:line="166" w:lineRule="exact"/>
        <w:rPr>
          <w:sz w:val="20"/>
          <w:szCs w:val="20"/>
          <w:color w:val="auto"/>
        </w:rPr>
      </w:pPr>
    </w:p>
    <w:p>
      <w:pPr>
        <w:jc w:val="both"/>
        <w:ind w:left="360" w:hanging="370"/>
        <w:spacing w:after="0" w:line="266" w:lineRule="auto"/>
        <w:rPr>
          <w:sz w:val="20"/>
          <w:szCs w:val="20"/>
          <w:color w:val="auto"/>
        </w:rPr>
      </w:pPr>
      <w:r>
        <w:rPr>
          <w:rFonts w:ascii="Times New Roman" w:cs="Times New Roman" w:eastAsia="Times New Roman" w:hAnsi="Times New Roman"/>
          <w:sz w:val="19"/>
          <w:szCs w:val="19"/>
          <w:color w:val="auto"/>
        </w:rPr>
        <w:t>6.6 The Agreement is written in both Chinese and English, and the Chinese version shall prevail in case of any discrepancies between these two versions. This Agreement has five counterparts with WFOE, Luckin Tech and each Shareholder holding one original counterpart. All originals shall have the same legal effect.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this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629348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9"/>
          <w:szCs w:val="19"/>
          <w:i w:val="1"/>
          <w:iCs w:val="1"/>
          <w:color w:val="auto"/>
        </w:rPr>
        <w:t>The Signature Page of the Termination Agreement of the Contractual Agreements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Agreement on the Effective Date stated at the head hereof.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Luckin Coffee (Beijing) Limited</w:t>
            </w:r>
          </w:p>
        </w:tc>
        <w:tc>
          <w:tcPr>
            <w:tcW w:w="4980" w:type="dxa"/>
            <w:vAlign w:val="bottom"/>
          </w:tcPr>
          <w:p>
            <w:pPr>
              <w:spacing w:after="0"/>
              <w:rPr>
                <w:sz w:val="20"/>
                <w:szCs w:val="20"/>
                <w:color w:val="auto"/>
              </w:rPr>
            </w:pPr>
          </w:p>
        </w:tc>
      </w:tr>
      <w:tr>
        <w:trPr>
          <w:trHeight w:val="450"/>
        </w:trPr>
        <w:tc>
          <w:tcPr>
            <w:tcW w:w="49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Legal Representative/Authorized Representative</w:t>
            </w:r>
            <w:r>
              <w:rPr>
                <w:rFonts w:ascii="PMingLiU" w:cs="PMingLiU" w:eastAsia="PMingLiU" w:hAnsi="PMingLiU"/>
                <w:sz w:val="18"/>
                <w:szCs w:val="18"/>
                <w:color w:val="auto"/>
              </w:rPr>
              <w:t>：</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Rupeng Li</w:t>
            </w:r>
          </w:p>
        </w:tc>
      </w:tr>
      <w:tr>
        <w:trPr>
          <w:trHeight w:val="41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Rupeng Li</w:t>
            </w:r>
          </w:p>
        </w:tc>
      </w:tr>
      <w:tr>
        <w:trPr>
          <w:trHeight w:val="41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Luckin Coffee (Beijing) Limited</w:t>
            </w:r>
          </w:p>
        </w:tc>
      </w:tr>
      <w:tr>
        <w:trPr>
          <w:trHeight w:val="225"/>
        </w:trPr>
        <w:tc>
          <w:tcPr>
            <w:tcW w:w="49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(Seal of Luckin Coffee (Beijing) Limited)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4" w:name="page235"/>
    <w:bookmarkEnd w:id="234"/>
    <w:p>
      <w:pPr>
        <w:ind w:left="1800"/>
        <w:spacing w:after="0"/>
        <w:rPr>
          <w:sz w:val="20"/>
          <w:szCs w:val="20"/>
          <w:color w:val="auto"/>
        </w:rPr>
      </w:pPr>
      <w:r>
        <w:rPr>
          <w:rFonts w:ascii="Times New Roman" w:cs="Times New Roman" w:eastAsia="Times New Roman" w:hAnsi="Times New Roman"/>
          <w:sz w:val="19"/>
          <w:szCs w:val="19"/>
          <w:i w:val="1"/>
          <w:iCs w:val="1"/>
          <w:color w:val="auto"/>
        </w:rPr>
        <w:t>The Signature Page of the Termination Agreement of the Contractual Agreements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Agreement on the Effective Date stated at the head hereof.</w:t>
      </w:r>
    </w:p>
    <w:p>
      <w:pPr>
        <w:sectPr>
          <w:pgSz w:w="11900" w:h="16838" w:orient="portrait"/>
          <w:cols w:equalWidth="0" w:num="1">
            <w:col w:w="9479"/>
          </w:cols>
          <w:pgMar w:left="980" w:top="114" w:right="1440"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Luckin Coffee Technology Ltd.</w:t>
      </w:r>
    </w:p>
    <w:p>
      <w:pPr>
        <w:spacing w:after="0" w:line="2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Legal Representative/Authorized Representative</w:t>
      </w:r>
      <w:r>
        <w:rPr>
          <w:rFonts w:ascii="PMingLiU" w:cs="PMingLiU" w:eastAsia="PMingLiU" w:hAnsi="PMingLiU"/>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464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/s/Rupeng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464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0" w:lineRule="exact"/>
        <w:rPr>
          <w:sz w:val="20"/>
          <w:szCs w:val="20"/>
          <w:color w:val="auto"/>
        </w:rPr>
      </w:pPr>
    </w:p>
    <w:p>
      <w:pPr>
        <w:ind w:right="1179"/>
        <w:spacing w:after="0" w:line="320" w:lineRule="auto"/>
        <w:rPr>
          <w:sz w:val="20"/>
          <w:szCs w:val="20"/>
          <w:color w:val="auto"/>
        </w:rPr>
      </w:pPr>
      <w:r>
        <w:rPr>
          <w:rFonts w:ascii="Times New Roman" w:cs="Times New Roman" w:eastAsia="Times New Roman" w:hAnsi="Times New Roman"/>
          <w:sz w:val="17"/>
          <w:szCs w:val="17"/>
          <w:color w:val="auto"/>
        </w:rPr>
        <w:t>/s/ Beijing Luckin Coffee Technology Ltd. (Seal of Beijing Luckin Coffee Technology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31464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4619"/>
          </w:cols>
          <w:pgMar w:left="980" w:top="114"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629348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type w:val="continuous"/>
        </w:sectPr>
      </w:pPr>
    </w:p>
    <w:bookmarkStart w:id="235" w:name="page236"/>
    <w:bookmarkEnd w:id="235"/>
    <w:p>
      <w:pPr>
        <w:ind w:left="1800"/>
        <w:spacing w:after="0"/>
        <w:rPr>
          <w:sz w:val="20"/>
          <w:szCs w:val="20"/>
          <w:color w:val="auto"/>
        </w:rPr>
      </w:pPr>
      <w:r>
        <w:rPr>
          <w:rFonts w:ascii="Times New Roman" w:cs="Times New Roman" w:eastAsia="Times New Roman" w:hAnsi="Times New Roman"/>
          <w:sz w:val="19"/>
          <w:szCs w:val="19"/>
          <w:i w:val="1"/>
          <w:iCs w:val="1"/>
          <w:color w:val="auto"/>
        </w:rPr>
        <w:t>The Signature Page of the Termination Agreement of the Contractual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Agreement on the Effective Date stated at the head hereof.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Jinyi Guo</w:t>
      </w:r>
    </w:p>
    <w:p>
      <w:pPr>
        <w:spacing w:after="0" w:line="232" w:lineRule="exact"/>
        <w:rPr>
          <w:sz w:val="20"/>
          <w:szCs w:val="20"/>
          <w:color w:val="auto"/>
        </w:rPr>
      </w:pPr>
    </w:p>
    <w:p>
      <w:pPr>
        <w:spacing w:after="0" w:line="219" w:lineRule="exact"/>
        <w:tabs>
          <w:tab w:leader="none" w:pos="4940" w:val="left"/>
        </w:tabs>
        <w:rPr>
          <w:sz w:val="20"/>
          <w:szCs w:val="20"/>
          <w:color w:val="auto"/>
        </w:rPr>
      </w:pPr>
      <w:r>
        <w:rPr>
          <w:rFonts w:ascii="Times New Roman" w:cs="Times New Roman" w:eastAsia="Times New Roman" w:hAnsi="Times New Roman"/>
          <w:sz w:val="18"/>
          <w:szCs w:val="18"/>
          <w:color w:val="auto"/>
        </w:rPr>
        <w:t>Signature</w:t>
      </w:r>
      <w:r>
        <w:rPr>
          <w:rFonts w:ascii="PMingLiU" w:cs="PMingLiU" w:eastAsia="PMingLiU" w:hAnsi="PMingLiU"/>
          <w:sz w:val="18"/>
          <w:szCs w:val="18"/>
          <w:color w:val="auto"/>
        </w:rPr>
        <w:t>：</w:t>
      </w:r>
      <w:r>
        <w:rPr>
          <w:sz w:val="20"/>
          <w:szCs w:val="20"/>
          <w:color w:val="auto"/>
        </w:rPr>
        <w:tab/>
      </w:r>
      <w:r>
        <w:rPr>
          <w:rFonts w:ascii="Times New Roman" w:cs="Times New Roman" w:eastAsia="Times New Roman" w:hAnsi="Times New Roman"/>
          <w:sz w:val="17"/>
          <w:szCs w:val="17"/>
          <w:color w:val="auto"/>
        </w:rPr>
        <w:t>/s/ Jinyi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15875</wp:posOffset>
            </wp:positionV>
            <wp:extent cx="31464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236" w:name="page237"/>
    <w:bookmarkEnd w:id="236"/>
    <w:p>
      <w:pPr>
        <w:ind w:left="1800"/>
        <w:spacing w:after="0"/>
        <w:rPr>
          <w:sz w:val="20"/>
          <w:szCs w:val="20"/>
          <w:color w:val="auto"/>
        </w:rPr>
      </w:pPr>
      <w:r>
        <w:rPr>
          <w:rFonts w:ascii="Times New Roman" w:cs="Times New Roman" w:eastAsia="Times New Roman" w:hAnsi="Times New Roman"/>
          <w:sz w:val="19"/>
          <w:szCs w:val="19"/>
          <w:i w:val="1"/>
          <w:iCs w:val="1"/>
          <w:color w:val="auto"/>
        </w:rPr>
        <w:t>The Signature Page of the Termination Agreement of the Contractual Agreements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duly executed this Agreement on the Effective Date stated at the head hereof.</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Gang Wu</w:t>
      </w:r>
    </w:p>
    <w:p>
      <w:pPr>
        <w:spacing w:after="0" w:line="232" w:lineRule="exact"/>
        <w:rPr>
          <w:sz w:val="20"/>
          <w:szCs w:val="20"/>
          <w:color w:val="auto"/>
        </w:rPr>
      </w:pPr>
    </w:p>
    <w:p>
      <w:pPr>
        <w:spacing w:after="0" w:line="219" w:lineRule="exact"/>
        <w:tabs>
          <w:tab w:leader="none" w:pos="4940" w:val="left"/>
        </w:tabs>
        <w:rPr>
          <w:sz w:val="20"/>
          <w:szCs w:val="20"/>
          <w:color w:val="auto"/>
        </w:rPr>
      </w:pPr>
      <w:r>
        <w:rPr>
          <w:rFonts w:ascii="Times New Roman" w:cs="Times New Roman" w:eastAsia="Times New Roman" w:hAnsi="Times New Roman"/>
          <w:sz w:val="18"/>
          <w:szCs w:val="18"/>
          <w:color w:val="auto"/>
        </w:rPr>
        <w:t>Signature</w:t>
      </w:r>
      <w:r>
        <w:rPr>
          <w:rFonts w:ascii="PMingLiU" w:cs="PMingLiU" w:eastAsia="PMingLiU" w:hAnsi="PMingLiU"/>
          <w:sz w:val="18"/>
          <w:szCs w:val="18"/>
          <w:color w:val="auto"/>
        </w:rPr>
        <w:t>：</w:t>
      </w:r>
      <w:r>
        <w:rPr>
          <w:sz w:val="20"/>
          <w:szCs w:val="20"/>
          <w:color w:val="auto"/>
        </w:rPr>
        <w:tab/>
      </w:r>
      <w:r>
        <w:rPr>
          <w:rFonts w:ascii="Times New Roman" w:cs="Times New Roman" w:eastAsia="Times New Roman" w:hAnsi="Times New Roman"/>
          <w:sz w:val="17"/>
          <w:szCs w:val="17"/>
          <w:color w:val="auto"/>
        </w:rPr>
        <w:t>/s/ Gang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15875</wp:posOffset>
            </wp:positionV>
            <wp:extent cx="31464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237" w:name="page238"/>
    <w:bookmarkEnd w:id="23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Appendix 1: List of Contractual Agreements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6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9"/>
                <w:szCs w:val="19"/>
                <w:color w:val="auto"/>
              </w:rPr>
              <w:t>No.</w:t>
            </w:r>
          </w:p>
        </w:tc>
        <w:tc>
          <w:tcPr>
            <w:tcW w:w="1100" w:type="dxa"/>
            <w:vAlign w:val="bottom"/>
            <w:tcBorders>
              <w:top w:val="single" w:sz="8" w:color="auto"/>
              <w:bottom w:val="single" w:sz="8" w:color="auto"/>
            </w:tcBorders>
            <w:shd w:val="clear" w:color="auto" w:fill="D9D9D9"/>
          </w:tcPr>
          <w:p>
            <w:pPr>
              <w:spacing w:after="0"/>
              <w:rPr>
                <w:sz w:val="20"/>
                <w:szCs w:val="20"/>
                <w:color w:val="auto"/>
              </w:rPr>
            </w:pPr>
            <w:r>
              <w:rPr>
                <w:rFonts w:ascii="Times New Roman" w:cs="Times New Roman" w:eastAsia="Times New Roman" w:hAnsi="Times New Roman"/>
                <w:sz w:val="19"/>
                <w:szCs w:val="19"/>
                <w:color w:val="auto"/>
              </w:rPr>
              <w:t>Agreement</w:t>
            </w:r>
          </w:p>
        </w:tc>
        <w:tc>
          <w:tcPr>
            <w:tcW w:w="420" w:type="dxa"/>
            <w:vAlign w:val="bottom"/>
            <w:tcBorders>
              <w:top w:val="single" w:sz="8" w:color="auto"/>
              <w:bottom w:val="single" w:sz="8" w:color="auto"/>
            </w:tcBorders>
            <w:shd w:val="clear" w:color="auto" w:fill="D9D9D9"/>
          </w:tcPr>
          <w:p>
            <w:pPr>
              <w:spacing w:after="0"/>
              <w:rPr>
                <w:sz w:val="20"/>
                <w:szCs w:val="20"/>
                <w:color w:val="auto"/>
              </w:rPr>
            </w:pPr>
          </w:p>
        </w:tc>
        <w:tc>
          <w:tcPr>
            <w:tcW w:w="840" w:type="dxa"/>
            <w:vAlign w:val="bottom"/>
            <w:tcBorders>
              <w:top w:val="single" w:sz="8" w:color="auto"/>
              <w:bottom w:val="single" w:sz="8" w:color="auto"/>
              <w:right w:val="single" w:sz="8" w:color="auto"/>
            </w:tcBorders>
            <w:shd w:val="clear" w:color="auto" w:fill="D9D9D9"/>
          </w:tcPr>
          <w:p>
            <w:pPr>
              <w:spacing w:after="0"/>
              <w:rPr>
                <w:sz w:val="20"/>
                <w:szCs w:val="20"/>
                <w:color w:val="auto"/>
              </w:rPr>
            </w:pPr>
          </w:p>
        </w:tc>
        <w:tc>
          <w:tcPr>
            <w:tcW w:w="420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9"/>
                <w:szCs w:val="19"/>
                <w:color w:val="auto"/>
              </w:rPr>
              <w:t>Parties of the Agreement</w:t>
            </w:r>
          </w:p>
        </w:tc>
        <w:tc>
          <w:tcPr>
            <w:tcW w:w="252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9"/>
                <w:szCs w:val="19"/>
                <w:color w:val="auto"/>
              </w:rPr>
              <w:t>Execution Date</w:t>
            </w:r>
          </w:p>
        </w:tc>
        <w:tc>
          <w:tcPr>
            <w:tcW w:w="0" w:type="dxa"/>
            <w:vAlign w:val="bottom"/>
          </w:tcPr>
          <w:p>
            <w:pPr>
              <w:spacing w:after="0"/>
              <w:rPr>
                <w:sz w:val="1"/>
                <w:szCs w:val="1"/>
                <w:color w:val="auto"/>
              </w:rPr>
            </w:pPr>
          </w:p>
        </w:tc>
      </w:tr>
      <w:tr>
        <w:trPr>
          <w:trHeight w:val="272"/>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1</w:t>
            </w:r>
          </w:p>
        </w:tc>
        <w:tc>
          <w:tcPr>
            <w:tcW w:w="1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Master  Exclusive</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Service</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Coffee (Beijing) Limited</w:t>
            </w: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June 16, 2022</w:t>
            </w:r>
          </w:p>
        </w:tc>
        <w:tc>
          <w:tcPr>
            <w:tcW w:w="0" w:type="dxa"/>
            <w:vAlign w:val="bottom"/>
          </w:tcPr>
          <w:p>
            <w:pPr>
              <w:spacing w:after="0"/>
              <w:rPr>
                <w:sz w:val="1"/>
                <w:szCs w:val="1"/>
                <w:color w:val="auto"/>
              </w:rPr>
            </w:pPr>
          </w:p>
        </w:tc>
      </w:tr>
      <w:tr>
        <w:trPr>
          <w:trHeight w:val="172"/>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spacing w:after="0" w:line="173" w:lineRule="exact"/>
              <w:rPr>
                <w:sz w:val="20"/>
                <w:szCs w:val="20"/>
                <w:color w:val="auto"/>
              </w:rPr>
            </w:pPr>
            <w:r>
              <w:rPr>
                <w:rFonts w:ascii="Times New Roman" w:cs="Times New Roman" w:eastAsia="Times New Roman" w:hAnsi="Times New Roman"/>
                <w:sz w:val="19"/>
                <w:szCs w:val="19"/>
                <w:color w:val="auto"/>
              </w:rPr>
              <w:t>Agreement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9"/>
                <w:szCs w:val="19"/>
                <w:color w:val="auto"/>
              </w:rPr>
              <w:t>Luckin Coffee (Beijing) Limited</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2</w:t>
            </w:r>
          </w:p>
        </w:tc>
        <w:tc>
          <w:tcPr>
            <w:tcW w:w="1100" w:type="dxa"/>
            <w:vAlign w:val="bottom"/>
          </w:tcPr>
          <w:p>
            <w:pPr>
              <w:spacing w:after="0"/>
              <w:rPr>
                <w:sz w:val="20"/>
                <w:szCs w:val="20"/>
                <w:color w:val="auto"/>
              </w:rPr>
            </w:pPr>
            <w:r>
              <w:rPr>
                <w:rFonts w:ascii="Times New Roman" w:cs="Times New Roman" w:eastAsia="Times New Roman" w:hAnsi="Times New Roman"/>
                <w:sz w:val="19"/>
                <w:szCs w:val="19"/>
                <w:color w:val="auto"/>
              </w:rPr>
              <w:t>Business</w:t>
            </w:r>
          </w:p>
        </w:tc>
        <w:tc>
          <w:tcPr>
            <w:tcW w:w="12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Cooperation</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Beijing Luckin Coffee Technology Ltd.</w:t>
            </w:r>
          </w:p>
        </w:tc>
        <w:tc>
          <w:tcPr>
            <w:tcW w:w="2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June 16, 2022</w:t>
            </w:r>
          </w:p>
        </w:tc>
        <w:tc>
          <w:tcPr>
            <w:tcW w:w="0" w:type="dxa"/>
            <w:vAlign w:val="bottom"/>
          </w:tcPr>
          <w:p>
            <w:pPr>
              <w:spacing w:after="0"/>
              <w:rPr>
                <w:sz w:val="1"/>
                <w:szCs w:val="1"/>
                <w:color w:val="auto"/>
              </w:rPr>
            </w:pPr>
          </w:p>
        </w:tc>
      </w:tr>
      <w:tr>
        <w:trPr>
          <w:trHeight w:val="134"/>
        </w:trPr>
        <w:tc>
          <w:tcPr>
            <w:tcW w:w="86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Agreement</w:t>
            </w:r>
          </w:p>
        </w:tc>
        <w:tc>
          <w:tcPr>
            <w:tcW w:w="4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Jinyi Guo</w:t>
            </w: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60" w:type="dxa"/>
            <w:vAlign w:val="bottom"/>
            <w:tcBorders>
              <w:left w:val="single" w:sz="8" w:color="auto"/>
              <w:right w:val="single" w:sz="8" w:color="auto"/>
            </w:tcBorders>
          </w:tcPr>
          <w:p>
            <w:pPr>
              <w:spacing w:after="0"/>
              <w:rPr>
                <w:sz w:val="7"/>
                <w:szCs w:val="7"/>
                <w:color w:val="auto"/>
              </w:rPr>
            </w:pPr>
          </w:p>
        </w:tc>
        <w:tc>
          <w:tcPr>
            <w:tcW w:w="1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20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Gang Wu</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9"/>
                <w:szCs w:val="19"/>
                <w:color w:val="auto"/>
              </w:rPr>
              <w:t>Luckin Coffee (Beijing) Limited</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3</w:t>
            </w:r>
          </w:p>
        </w:tc>
        <w:tc>
          <w:tcPr>
            <w:tcW w:w="2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Exclusive Option Agreement</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Jinyi Guo</w:t>
            </w: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June 16, 2022</w:t>
            </w:r>
          </w:p>
        </w:tc>
        <w:tc>
          <w:tcPr>
            <w:tcW w:w="0" w:type="dxa"/>
            <w:vAlign w:val="bottom"/>
          </w:tcPr>
          <w:p>
            <w:pPr>
              <w:spacing w:after="0"/>
              <w:rPr>
                <w:sz w:val="1"/>
                <w:szCs w:val="1"/>
                <w:color w:val="auto"/>
              </w:rPr>
            </w:pPr>
          </w:p>
        </w:tc>
      </w:tr>
      <w:tr>
        <w:trPr>
          <w:trHeight w:val="248"/>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Gang Wu</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9"/>
                <w:szCs w:val="19"/>
                <w:color w:val="auto"/>
              </w:rPr>
              <w:t>Luckin Coffee (Beijing) Limited</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4</w:t>
            </w:r>
          </w:p>
        </w:tc>
        <w:tc>
          <w:tcPr>
            <w:tcW w:w="23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9"/>
                <w:szCs w:val="19"/>
                <w:color w:val="auto"/>
              </w:rPr>
              <w:t>Share Pledge Agreement</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Beijing Luckin Coffee Technology Ltd.</w:t>
            </w:r>
          </w:p>
        </w:tc>
        <w:tc>
          <w:tcPr>
            <w:tcW w:w="2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June 16, 2022</w:t>
            </w:r>
          </w:p>
        </w:tc>
        <w:tc>
          <w:tcPr>
            <w:tcW w:w="0" w:type="dxa"/>
            <w:vAlign w:val="bottom"/>
          </w:tcPr>
          <w:p>
            <w:pPr>
              <w:spacing w:after="0"/>
              <w:rPr>
                <w:sz w:val="1"/>
                <w:szCs w:val="1"/>
                <w:color w:val="auto"/>
              </w:rPr>
            </w:pPr>
          </w:p>
        </w:tc>
      </w:tr>
      <w:tr>
        <w:trPr>
          <w:trHeight w:val="134"/>
        </w:trPr>
        <w:tc>
          <w:tcPr>
            <w:tcW w:w="860" w:type="dxa"/>
            <w:vAlign w:val="bottom"/>
            <w:tcBorders>
              <w:left w:val="single" w:sz="8" w:color="auto"/>
              <w:right w:val="single" w:sz="8" w:color="auto"/>
            </w:tcBorders>
            <w:vMerge w:val="continue"/>
          </w:tcPr>
          <w:p>
            <w:pPr>
              <w:spacing w:after="0"/>
              <w:rPr>
                <w:sz w:val="11"/>
                <w:szCs w:val="11"/>
                <w:color w:val="auto"/>
              </w:rPr>
            </w:pPr>
          </w:p>
        </w:tc>
        <w:tc>
          <w:tcPr>
            <w:tcW w:w="2360" w:type="dxa"/>
            <w:vAlign w:val="bottom"/>
            <w:tcBorders>
              <w:right w:val="single" w:sz="8" w:color="auto"/>
            </w:tcBorders>
            <w:gridSpan w:val="3"/>
            <w:vMerge w:val="continue"/>
          </w:tcPr>
          <w:p>
            <w:pPr>
              <w:spacing w:after="0"/>
              <w:rPr>
                <w:sz w:val="11"/>
                <w:szCs w:val="11"/>
                <w:color w:val="auto"/>
              </w:rPr>
            </w:pPr>
          </w:p>
        </w:tc>
        <w:tc>
          <w:tcPr>
            <w:tcW w:w="4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Jinyi Guo</w:t>
            </w: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60" w:type="dxa"/>
            <w:vAlign w:val="bottom"/>
            <w:tcBorders>
              <w:left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20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Gang Wu</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9"/>
                <w:szCs w:val="19"/>
                <w:color w:val="auto"/>
              </w:rPr>
              <w:t>Luckin Coffee (Beijing) Limited</w:t>
            </w:r>
          </w:p>
        </w:tc>
        <w:tc>
          <w:tcPr>
            <w:tcW w:w="2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color w:val="auto"/>
              </w:rPr>
              <w:t>5</w:t>
            </w:r>
          </w:p>
        </w:tc>
        <w:tc>
          <w:tcPr>
            <w:tcW w:w="2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Proxy Agreement and Power</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Beijing Luckin Coffee Technology Ltd.</w:t>
            </w:r>
          </w:p>
        </w:tc>
        <w:tc>
          <w:tcPr>
            <w:tcW w:w="2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June 16, 2022</w:t>
            </w:r>
          </w:p>
        </w:tc>
        <w:tc>
          <w:tcPr>
            <w:tcW w:w="0" w:type="dxa"/>
            <w:vAlign w:val="bottom"/>
          </w:tcPr>
          <w:p>
            <w:pPr>
              <w:spacing w:after="0"/>
              <w:rPr>
                <w:sz w:val="1"/>
                <w:szCs w:val="1"/>
                <w:color w:val="auto"/>
              </w:rPr>
            </w:pPr>
          </w:p>
        </w:tc>
      </w:tr>
      <w:tr>
        <w:trPr>
          <w:trHeight w:val="134"/>
        </w:trPr>
        <w:tc>
          <w:tcPr>
            <w:tcW w:w="86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of Attorney</w:t>
            </w:r>
          </w:p>
        </w:tc>
        <w:tc>
          <w:tcPr>
            <w:tcW w:w="4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9"/>
                <w:szCs w:val="19"/>
                <w:color w:val="auto"/>
              </w:rPr>
              <w:t>Jinyi Guo</w:t>
            </w:r>
          </w:p>
        </w:tc>
        <w:tc>
          <w:tcPr>
            <w:tcW w:w="25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60" w:type="dxa"/>
            <w:vAlign w:val="bottom"/>
            <w:tcBorders>
              <w:left w:val="single" w:sz="8" w:color="auto"/>
              <w:right w:val="single" w:sz="8" w:color="auto"/>
            </w:tcBorders>
          </w:tcPr>
          <w:p>
            <w:pPr>
              <w:spacing w:after="0"/>
              <w:rPr>
                <w:sz w:val="7"/>
                <w:szCs w:val="7"/>
                <w:color w:val="auto"/>
              </w:rPr>
            </w:pPr>
          </w:p>
        </w:tc>
        <w:tc>
          <w:tcPr>
            <w:tcW w:w="1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420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Gang Wu</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6</w:t>
            </w:r>
          </w:p>
        </w:tc>
        <w:tc>
          <w:tcPr>
            <w:tcW w:w="1100" w:type="dxa"/>
            <w:vAlign w:val="bottom"/>
          </w:tcPr>
          <w:p>
            <w:pPr>
              <w:spacing w:after="0"/>
              <w:rPr>
                <w:sz w:val="20"/>
                <w:szCs w:val="20"/>
                <w:color w:val="auto"/>
              </w:rPr>
            </w:pPr>
            <w:r>
              <w:rPr>
                <w:rFonts w:ascii="Times New Roman" w:cs="Times New Roman" w:eastAsia="Times New Roman" w:hAnsi="Times New Roman"/>
                <w:sz w:val="19"/>
                <w:szCs w:val="19"/>
                <w:color w:val="auto"/>
              </w:rPr>
              <w:t>Confirmation</w:t>
            </w:r>
          </w:p>
        </w:tc>
        <w:tc>
          <w:tcPr>
            <w:tcW w:w="4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Guarantee</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Jinyi Guo</w:t>
            </w: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Letter</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7</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Shuang Liu</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Shuang Liu</w:t>
            </w: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8</w:t>
            </w:r>
          </w:p>
        </w:tc>
        <w:tc>
          <w:tcPr>
            <w:tcW w:w="23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Confirmation and Guarantee</w:t>
            </w:r>
          </w:p>
        </w:tc>
        <w:tc>
          <w:tcPr>
            <w:tcW w:w="4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Gang Wu</w:t>
            </w: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Letter</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9</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Rong Chen</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Rong Chen</w:t>
            </w: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842"/>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12</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14" w:right="97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and VIE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of the Registrant</w:t>
      </w: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20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c>
          <w:tcPr>
            <w:tcW w:w="4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87"/>
        </w:trPr>
        <w:tc>
          <w:tcPr>
            <w:tcW w:w="20" w:type="dxa"/>
            <w:vAlign w:val="bottom"/>
          </w:tcPr>
          <w:p>
            <w:pPr>
              <w:spacing w:after="0"/>
              <w:rPr>
                <w:sz w:val="16"/>
                <w:szCs w:val="16"/>
                <w:color w:val="auto"/>
              </w:rPr>
            </w:pPr>
          </w:p>
        </w:tc>
        <w:tc>
          <w:tcPr>
            <w:tcW w:w="49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Luckin Coffee Investment Inc.</w:t>
            </w:r>
          </w:p>
        </w:tc>
        <w:tc>
          <w:tcPr>
            <w:tcW w:w="240" w:type="dxa"/>
            <w:vAlign w:val="bottom"/>
          </w:tcPr>
          <w:p>
            <w:pPr>
              <w:spacing w:after="0"/>
              <w:rPr>
                <w:sz w:val="16"/>
                <w:szCs w:val="16"/>
                <w:color w:val="auto"/>
              </w:rPr>
            </w:pPr>
          </w:p>
        </w:tc>
        <w:tc>
          <w:tcPr>
            <w:tcW w:w="4700" w:type="dxa"/>
            <w:vAlign w:val="bottom"/>
            <w:tcBorders>
              <w:top w:val="single" w:sz="8" w:color="auto"/>
            </w:tcBorders>
          </w:tcPr>
          <w:p>
            <w:pPr>
              <w:ind w:left="320"/>
              <w:spacing w:after="0" w:line="187" w:lineRule="exact"/>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International Holdings Inc.</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(SGP) PTE.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(Hong Kong) Limited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Trading (Hong Kong) Limited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Roasting (Hong Kong) Limited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Roastery (Hong Kong) Limited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Luckin Coffee Co.,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Investment (Tianjin) Co.,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Group Co.,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Roasting (Pingnan) Co.,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PRC</w:t>
            </w:r>
          </w:p>
        </w:tc>
      </w:tr>
      <w:tr>
        <w:trPr>
          <w:trHeight w:val="231"/>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Luckin Coffee Food (Jiangsu) Co., Ltd.</w:t>
            </w: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PRC</w:t>
            </w: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520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Variable Interest Entity</w:t>
            </w:r>
            <w:r>
              <w:rPr>
                <w:rFonts w:ascii="Times New Roman" w:cs="Times New Roman" w:eastAsia="Times New Roman" w:hAnsi="Times New Roman"/>
                <w:sz w:val="26"/>
                <w:szCs w:val="26"/>
                <w:b w:val="1"/>
                <w:bCs w:val="1"/>
                <w:color w:val="auto"/>
                <w:vertAlign w:val="superscript"/>
              </w:rPr>
              <w:t>*</w:t>
            </w:r>
          </w:p>
        </w:tc>
        <w:tc>
          <w:tcPr>
            <w:tcW w:w="4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25"/>
        </w:trPr>
        <w:tc>
          <w:tcPr>
            <w:tcW w:w="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Beijing Luckin Coffee Technology Ltd.</w:t>
            </w:r>
          </w:p>
        </w:tc>
        <w:tc>
          <w:tcPr>
            <w:tcW w:w="240" w:type="dxa"/>
            <w:vAlign w:val="bottom"/>
          </w:tcPr>
          <w:p>
            <w:pPr>
              <w:spacing w:after="0"/>
              <w:rPr>
                <w:sz w:val="19"/>
                <w:szCs w:val="19"/>
                <w:color w:val="auto"/>
              </w:rPr>
            </w:pPr>
          </w:p>
        </w:tc>
        <w:tc>
          <w:tcPr>
            <w:tcW w:w="47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2209165</wp:posOffset>
            </wp:positionV>
            <wp:extent cx="157353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15735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25"/>
        <w:spacing w:after="0" w:line="255" w:lineRule="auto"/>
        <w:tabs>
          <w:tab w:leader="none" w:pos="48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contractual arrangements entered by and among Beijing Luckin Coffee Co., Ltd., Beijing Luckin Coffee Technology Ltd. (the “Former VIE”) and shareholders of the Former VIE were terminated. As a result of such termination, the financial results of the Former VIE will no longer be consolidated into the registrant’s consolidated financial statements for accounting purpose since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629348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Jinyi Guo, certify that:</w:t>
      </w:r>
    </w:p>
    <w:p>
      <w:pPr>
        <w:spacing w:after="0" w:line="217" w:lineRule="exact"/>
        <w:rPr>
          <w:sz w:val="20"/>
          <w:szCs w:val="20"/>
          <w:color w:val="auto"/>
        </w:rPr>
      </w:pPr>
    </w:p>
    <w:p>
      <w:pPr>
        <w:ind w:left="640" w:hanging="315"/>
        <w:spacing w:after="0"/>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Luckin Coffee Inc. (the “Company”);</w:t>
      </w:r>
    </w:p>
    <w:p>
      <w:pPr>
        <w:spacing w:after="0" w:line="217" w:lineRule="exact"/>
        <w:rPr>
          <w:rFonts w:ascii="Times New Roman" w:cs="Times New Roman" w:eastAsia="Times New Roman" w:hAnsi="Times New Roman"/>
          <w:sz w:val="18"/>
          <w:szCs w:val="18"/>
          <w:color w:val="auto"/>
        </w:rPr>
      </w:pPr>
    </w:p>
    <w:p>
      <w:pPr>
        <w:ind w:left="640" w:right="40" w:hanging="315"/>
        <w:spacing w:after="0" w:line="259" w:lineRule="auto"/>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100" w:hanging="315"/>
        <w:spacing w:after="0" w:line="259" w:lineRule="auto"/>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640" w:right="180" w:hanging="315"/>
        <w:spacing w:after="0" w:line="274" w:lineRule="auto"/>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3" w:lineRule="exact"/>
        <w:rPr>
          <w:rFonts w:ascii="Times New Roman" w:cs="Times New Roman" w:eastAsia="Times New Roman" w:hAnsi="Times New Roman"/>
          <w:sz w:val="18"/>
          <w:szCs w:val="18"/>
          <w:color w:val="auto"/>
        </w:rPr>
      </w:pPr>
    </w:p>
    <w:p>
      <w:pPr>
        <w:ind w:left="960" w:right="20" w:hanging="317"/>
        <w:spacing w:after="0" w:line="259"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60" w:right="60" w:hanging="317"/>
        <w:spacing w:after="0" w:line="259"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right="120" w:hanging="317"/>
        <w:spacing w:after="0" w:line="259"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960" w:right="120" w:hanging="317"/>
        <w:spacing w:after="0" w:line="259"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60" w:hanging="315"/>
        <w:spacing w:after="0" w:line="274" w:lineRule="auto"/>
        <w:tabs>
          <w:tab w:leader="none" w:pos="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3" w:lineRule="exact"/>
        <w:rPr>
          <w:rFonts w:ascii="Times New Roman" w:cs="Times New Roman" w:eastAsia="Times New Roman" w:hAnsi="Times New Roman"/>
          <w:sz w:val="18"/>
          <w:szCs w:val="18"/>
          <w:color w:val="auto"/>
        </w:rPr>
      </w:pPr>
    </w:p>
    <w:p>
      <w:pPr>
        <w:ind w:left="960" w:right="380" w:hanging="317"/>
        <w:spacing w:after="0" w:line="259"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960" w:right="760" w:hanging="317"/>
        <w:spacing w:after="0" w:line="274" w:lineRule="auto"/>
        <w:tabs>
          <w:tab w:leader="none" w:pos="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April 8, 2024</w:t>
            </w:r>
          </w:p>
        </w:tc>
      </w:tr>
      <w:tr>
        <w:trPr>
          <w:trHeight w:val="449"/>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Jinyi Guo</w:t>
            </w:r>
          </w:p>
        </w:tc>
      </w:tr>
      <w:tr>
        <w:trPr>
          <w:trHeight w:val="187"/>
        </w:trPr>
        <w:tc>
          <w:tcPr>
            <w:tcW w:w="5820" w:type="dxa"/>
            <w:vAlign w:val="bottom"/>
          </w:tcPr>
          <w:p>
            <w:pPr>
              <w:ind w:left="5200"/>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Jinyi Guo</w:t>
            </w:r>
          </w:p>
        </w:tc>
      </w:tr>
      <w:tr>
        <w:trPr>
          <w:trHeight w:val="231"/>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1"/>
        </w:trPr>
        <w:tc>
          <w:tcPr>
            <w:tcW w:w="58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Jing An, certify that:</w:t>
      </w:r>
    </w:p>
    <w:p>
      <w:pPr>
        <w:spacing w:after="0" w:line="217" w:lineRule="exact"/>
        <w:rPr>
          <w:sz w:val="20"/>
          <w:szCs w:val="20"/>
          <w:color w:val="auto"/>
        </w:rPr>
      </w:pPr>
    </w:p>
    <w:p>
      <w:pPr>
        <w:ind w:left="640" w:hanging="315"/>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Luckin Coffee Inc. (the “Company”);</w:t>
      </w:r>
    </w:p>
    <w:p>
      <w:pPr>
        <w:spacing w:after="0" w:line="217" w:lineRule="exact"/>
        <w:rPr>
          <w:rFonts w:ascii="Times New Roman" w:cs="Times New Roman" w:eastAsia="Times New Roman" w:hAnsi="Times New Roman"/>
          <w:sz w:val="18"/>
          <w:szCs w:val="18"/>
          <w:color w:val="auto"/>
        </w:rPr>
      </w:pPr>
    </w:p>
    <w:p>
      <w:pPr>
        <w:ind w:left="640" w:right="40" w:hanging="315"/>
        <w:spacing w:after="0" w:line="259" w:lineRule="auto"/>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100" w:hanging="315"/>
        <w:spacing w:after="0" w:line="259" w:lineRule="auto"/>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640" w:right="180" w:hanging="315"/>
        <w:spacing w:after="0" w:line="274" w:lineRule="auto"/>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63" w:lineRule="exact"/>
        <w:rPr>
          <w:rFonts w:ascii="Times New Roman" w:cs="Times New Roman" w:eastAsia="Times New Roman" w:hAnsi="Times New Roman"/>
          <w:sz w:val="18"/>
          <w:szCs w:val="18"/>
          <w:color w:val="auto"/>
        </w:rPr>
      </w:pPr>
    </w:p>
    <w:p>
      <w:pPr>
        <w:ind w:left="960" w:right="20" w:hanging="317"/>
        <w:spacing w:after="0" w:line="259"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960" w:right="60" w:hanging="317"/>
        <w:spacing w:after="0" w:line="259"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right="120" w:hanging="317"/>
        <w:spacing w:after="0" w:line="259"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960" w:right="120" w:hanging="317"/>
        <w:spacing w:after="0" w:line="259"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60" w:hanging="315"/>
        <w:spacing w:after="0" w:line="274" w:lineRule="auto"/>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3" w:lineRule="exact"/>
        <w:rPr>
          <w:rFonts w:ascii="Times New Roman" w:cs="Times New Roman" w:eastAsia="Times New Roman" w:hAnsi="Times New Roman"/>
          <w:sz w:val="18"/>
          <w:szCs w:val="18"/>
          <w:color w:val="auto"/>
        </w:rPr>
      </w:pPr>
    </w:p>
    <w:p>
      <w:pPr>
        <w:ind w:left="960" w:right="380" w:hanging="317"/>
        <w:spacing w:after="0" w:line="259"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960" w:right="760" w:hanging="317"/>
        <w:spacing w:after="0" w:line="274" w:lineRule="auto"/>
        <w:tabs>
          <w:tab w:leader="none" w:pos="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Date: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April 8, 2024</w:t>
            </w:r>
          </w:p>
        </w:tc>
      </w:tr>
      <w:tr>
        <w:trPr>
          <w:trHeight w:val="423"/>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Jing An</w:t>
            </w:r>
          </w:p>
        </w:tc>
      </w:tr>
      <w:tr>
        <w:trPr>
          <w:trHeight w:val="187"/>
        </w:trPr>
        <w:tc>
          <w:tcPr>
            <w:tcW w:w="5820" w:type="dxa"/>
            <w:vAlign w:val="bottom"/>
          </w:tcPr>
          <w:p>
            <w:pPr>
              <w:ind w:left="5200"/>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Jing An</w:t>
            </w:r>
          </w:p>
        </w:tc>
      </w:tr>
      <w:tr>
        <w:trPr>
          <w:trHeight w:val="231"/>
        </w:trPr>
        <w:tc>
          <w:tcPr>
            <w:tcW w:w="58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61"/>
        </w:trPr>
        <w:tc>
          <w:tcPr>
            <w:tcW w:w="58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In connection with the annual report of Luckin Coffee Inc. (the “Company”) on Form 20-F for the year ended December 31, 2023 as filed with the Securities and Exchange Commission on the date hereof (the “Report”), I, Jinyi Guo, Chief Executive Officer of the Company, certify, pursuant to 18 U.S.C. Section 1350, as adopted pursuant to Section 906 of the Sarbanes-Oxley Act of 2002, that to my knowledge:</w:t>
      </w:r>
    </w:p>
    <w:p>
      <w:pPr>
        <w:spacing w:after="0" w:line="159" w:lineRule="exact"/>
        <w:rPr>
          <w:sz w:val="20"/>
          <w:szCs w:val="20"/>
          <w:color w:val="auto"/>
        </w:rPr>
      </w:pPr>
    </w:p>
    <w:p>
      <w:pPr>
        <w:ind w:left="260" w:hanging="253"/>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right="180" w:firstLine="7"/>
        <w:spacing w:after="0" w:line="274" w:lineRule="auto"/>
        <w:tabs>
          <w:tab w:leader="none" w:pos="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Jinyi Guo</w:t>
            </w:r>
          </w:p>
        </w:tc>
      </w:tr>
      <w:tr>
        <w:trPr>
          <w:trHeight w:val="187"/>
        </w:trPr>
        <w:tc>
          <w:tcPr>
            <w:tcW w:w="6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Jinyi Guo</w:t>
            </w:r>
          </w:p>
        </w:tc>
        <w:tc>
          <w:tcPr>
            <w:tcW w:w="5280" w:type="dxa"/>
            <w:vAlign w:val="bottom"/>
          </w:tcPr>
          <w:p>
            <w:pPr>
              <w:spacing w:after="0"/>
              <w:rPr>
                <w:sz w:val="16"/>
                <w:szCs w:val="16"/>
                <w:color w:val="auto"/>
              </w:rPr>
            </w:pP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1"/>
        </w:trPr>
        <w:tc>
          <w:tcPr>
            <w:tcW w:w="6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In connection with the annual report of Luckin Coffee Inc. (the “Company”) on Form 20-F for the year ended December 31, 2023 as filed with the Securities and Exchange Commission on the date hereof (the “Report”), I, Jing An, Chief Financial Officer of the Company, certify, pursuant to 18 U.S.C. Section 1350, as adopted pursuant to Section 906 of the Sarbanes-Oxley Act of 2002, that to my knowledge:</w:t>
      </w:r>
    </w:p>
    <w:p>
      <w:pPr>
        <w:spacing w:after="0" w:line="159" w:lineRule="exact"/>
        <w:rPr>
          <w:sz w:val="20"/>
          <w:szCs w:val="20"/>
          <w:color w:val="auto"/>
        </w:rPr>
      </w:pPr>
    </w:p>
    <w:p>
      <w:pPr>
        <w:ind w:left="260" w:hanging="253"/>
        <w:spacing w:after="0"/>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right="180" w:firstLine="7"/>
        <w:spacing w:after="0" w:line="274" w:lineRule="auto"/>
        <w:tabs>
          <w:tab w:leader="none" w:pos="24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Jing An</w:t>
            </w:r>
          </w:p>
        </w:tc>
        <w:tc>
          <w:tcPr>
            <w:tcW w:w="0" w:type="dxa"/>
            <w:vAlign w:val="bottom"/>
          </w:tcPr>
          <w:p>
            <w:pPr>
              <w:spacing w:after="0"/>
              <w:rPr>
                <w:sz w:val="1"/>
                <w:szCs w:val="1"/>
                <w:color w:val="auto"/>
              </w:rPr>
            </w:pPr>
          </w:p>
        </w:tc>
      </w:tr>
      <w:tr>
        <w:trPr>
          <w:trHeight w:val="25"/>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bottom w:val="single" w:sz="8" w:color="auto"/>
            </w:tcBorders>
          </w:tcPr>
          <w:p>
            <w:pPr>
              <w:spacing w:after="0"/>
              <w:rPr>
                <w:sz w:val="2"/>
                <w:szCs w:val="2"/>
                <w:color w:val="auto"/>
              </w:rPr>
            </w:pPr>
          </w:p>
        </w:tc>
        <w:tc>
          <w:tcPr>
            <w:tcW w:w="5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00" w:type="dxa"/>
            <w:vAlign w:val="bottom"/>
            <w:vMerge w:val="continue"/>
          </w:tcPr>
          <w:p>
            <w:pPr>
              <w:spacing w:after="0"/>
              <w:rPr>
                <w:sz w:val="17"/>
                <w:szCs w:val="17"/>
                <w:color w:val="auto"/>
              </w:rPr>
            </w:pPr>
          </w:p>
        </w:tc>
        <w:tc>
          <w:tcPr>
            <w:tcW w:w="4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Jing An</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787"/>
        </w:trPr>
        <w:tc>
          <w:tcPr>
            <w:tcW w:w="6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9" w:right="999" w:bottom="1440" w:gutter="0" w:footer="0" w:header="0"/>
        </w:sectPr>
      </w:pPr>
    </w:p>
    <w:bookmarkStart w:id="243" w:name="page244"/>
    <w:bookmarkEnd w:id="243"/>
    <w:p>
      <w:pPr>
        <w:ind w:left="900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480820" cy="647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1480820" cy="64770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166370</wp:posOffset>
            </wp:positionV>
            <wp:extent cx="1910080" cy="127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1910080" cy="127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LETTER</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  Luckin Coffee Inc.</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28th Floor, Building T3, Haixi Jingu Plaza</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 Taibei Road</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Siming District, Xiamen City, Fujian</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People’s Republic of China, 361008</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8, 2024</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Dear Sir/Madam:</w:t>
      </w:r>
    </w:p>
    <w:p>
      <w:pPr>
        <w:spacing w:after="0" w:line="217" w:lineRule="exact"/>
        <w:rPr>
          <w:sz w:val="20"/>
          <w:szCs w:val="20"/>
          <w:color w:val="auto"/>
        </w:rPr>
      </w:pPr>
    </w:p>
    <w:p>
      <w:pPr>
        <w:ind w:right="120" w:firstLine="424"/>
        <w:spacing w:after="0" w:line="249"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3. Key Information — D. Risk Factors”, “Item 4. Information on the Company— B. Business Overview”, “Item 4. Information on the Company— C. Organizational Structure” and “Item 10. Additional Information— E. Taxation” in Luckin Coffee Inc.’s Annual Report on Form 20-F for the year ended December 31, 2023 (the “Annual Report”), which will be filed with the Securities and Exchange Commission (the “SEC”) on the date hereof.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 We also consent to the filing of this consent letter with the SEC as an exhibit to the Annual Report on Form 20-F for the year ended December 31, 2023.</w:t>
      </w:r>
    </w:p>
    <w:p>
      <w:pPr>
        <w:spacing w:after="0" w:line="190" w:lineRule="exact"/>
        <w:rPr>
          <w:sz w:val="20"/>
          <w:szCs w:val="20"/>
          <w:color w:val="auto"/>
        </w:rPr>
      </w:pPr>
    </w:p>
    <w:p>
      <w:pPr>
        <w:jc w:val="both"/>
        <w:ind w:right="600" w:firstLine="424"/>
        <w:spacing w:after="0" w:line="259"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King &amp; Wood Mallesons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14605</wp:posOffset>
            </wp:positionV>
            <wp:extent cx="28606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King &amp; Wood Mallesons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629348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629348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6150610" cy="13290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6150610" cy="132905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590040" cy="4629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1590040" cy="462915"/>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3rd Floor, Harbour Place</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 South Church Street, PO Box 10240</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Grand Cayman KY1-1002, Cayman Islands</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+1 345 949 8599</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+1 345 949 4451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April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Email</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Nick.Hoffman@harneys.com/ Chai.Ridgers@harneys.com</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+1 345 815 2916 / +852 5806 7869</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NXH/CAR/0524067.0001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Conyers Trust Company (Cayman) Limited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Cricket Square, Hutchins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2681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Luckin Coffee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 - Annual Report on Form 20-F</w:t>
      </w:r>
    </w:p>
    <w:p>
      <w:pPr>
        <w:spacing w:after="0" w:line="2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hereby consent to the filing of this letter as an exhibit to the Company’s annual report on Form 20-F for the year ended 31 December 2023 with the U.S, Securities and Exchange Commission. We confirm that we do not have any objections with (i) the Cayman Islands law advice under the heading “4.B. Business Overview” sub-heading “Enforceability of Civil Liabilities,” (ii) the Cayman Islands Taxation advice under the heading “10.E. Taxation” sub-heading “Cayman Islands Taxation,” and (iii) the statement under the heading “Item 16.G. Corporate Governance” in the annual report.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Harney Westwood &amp; Riegels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Harney Westwood &amp; Riegels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Harney Westwood &amp; Riegels is registered under the Limited Liability Partnership Act 2017 of the</w:t>
            </w:r>
          </w:p>
        </w:tc>
        <w:tc>
          <w:tcPr>
            <w:tcW w:w="3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Anguilla | Bermuda | British Virgin Islands | Cayman Islands</w:t>
            </w:r>
          </w:p>
        </w:tc>
        <w:tc>
          <w:tcPr>
            <w:tcW w:w="0" w:type="dxa"/>
            <w:vAlign w:val="bottom"/>
          </w:tcPr>
          <w:p>
            <w:pPr>
              <w:spacing w:after="0"/>
              <w:rPr>
                <w:sz w:val="1"/>
                <w:szCs w:val="1"/>
                <w:color w:val="auto"/>
              </w:rPr>
            </w:pPr>
          </w:p>
        </w:tc>
      </w:tr>
      <w:tr>
        <w:trPr>
          <w:trHeight w:val="146"/>
        </w:trPr>
        <w:tc>
          <w:tcPr>
            <w:tcW w:w="60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laws of the Cayman Islands. Jersey legal services are provided through a referral arrangement</w:t>
            </w:r>
          </w:p>
        </w:tc>
        <w:tc>
          <w:tcPr>
            <w:tcW w:w="3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with Harneys (Jersey) which is an independently owned and controlled Jersey law firm.</w:t>
            </w:r>
          </w:p>
        </w:tc>
        <w:tc>
          <w:tcPr>
            <w:tcW w:w="39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Cyprus | Hong Kong | Jersey | London | Luxembourg</w:t>
            </w:r>
          </w:p>
        </w:tc>
        <w:tc>
          <w:tcPr>
            <w:tcW w:w="0" w:type="dxa"/>
            <w:vAlign w:val="bottom"/>
          </w:tcPr>
          <w:p>
            <w:pPr>
              <w:spacing w:after="0"/>
              <w:rPr>
                <w:sz w:val="1"/>
                <w:szCs w:val="1"/>
                <w:color w:val="auto"/>
              </w:rPr>
            </w:pPr>
          </w:p>
        </w:tc>
      </w:tr>
      <w:tr>
        <w:trPr>
          <w:trHeight w:val="146"/>
        </w:trPr>
        <w:tc>
          <w:tcPr>
            <w:tcW w:w="60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 list of partners is available for inspection at our offices.</w:t>
            </w:r>
          </w:p>
        </w:tc>
        <w:tc>
          <w:tcPr>
            <w:tcW w:w="39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Montevideo | São Paulo | Shanghai | Singapore</w:t>
            </w:r>
          </w:p>
        </w:tc>
        <w:tc>
          <w:tcPr>
            <w:tcW w:w="0" w:type="dxa"/>
            <w:vAlign w:val="bottom"/>
          </w:tcPr>
          <w:p>
            <w:pPr>
              <w:spacing w:after="0"/>
              <w:rPr>
                <w:sz w:val="1"/>
                <w:szCs w:val="1"/>
                <w:color w:val="auto"/>
              </w:rPr>
            </w:pPr>
          </w:p>
        </w:tc>
      </w:tr>
      <w:tr>
        <w:trPr>
          <w:trHeight w:val="184"/>
        </w:trPr>
        <w:tc>
          <w:tcPr>
            <w:tcW w:w="6020" w:type="dxa"/>
            <w:vAlign w:val="bottom"/>
          </w:tcPr>
          <w:p>
            <w:pPr>
              <w:spacing w:after="0"/>
              <w:rPr>
                <w:sz w:val="15"/>
                <w:szCs w:val="15"/>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harneys.com</w:t>
            </w:r>
          </w:p>
        </w:tc>
        <w:tc>
          <w:tcPr>
            <w:tcW w:w="0" w:type="dxa"/>
            <w:vAlign w:val="bottom"/>
          </w:tcPr>
          <w:p>
            <w:pPr>
              <w:spacing w:after="0"/>
              <w:rPr>
                <w:sz w:val="1"/>
                <w:szCs w:val="1"/>
                <w:color w:val="auto"/>
              </w:rPr>
            </w:pPr>
          </w:p>
        </w:tc>
      </w:tr>
      <w:tr>
        <w:trPr>
          <w:trHeight w:val="746"/>
        </w:trPr>
        <w:tc>
          <w:tcPr>
            <w:tcW w:w="60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9"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150495</wp:posOffset>
            </wp:positionV>
            <wp:extent cx="4660900" cy="43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46609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Xiamen, The People’s Republic of China</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Forms S-8 (No. 333-232089 and No. 333-260577) of Luckin Coffee Inc. of our reports dated April 8, 2024, relating to the consolidated financial statements and the effectiveness of internal control over financial reporting of Luckin Coffee Inc., which appear in this Annual Report on Form 20-F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China Shu Lun Pan Certified Public Accountants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500"/>
        <w:spacing w:after="0" w:line="216" w:lineRule="exact"/>
        <w:rPr>
          <w:sz w:val="20"/>
          <w:szCs w:val="20"/>
          <w:color w:val="auto"/>
        </w:rPr>
      </w:pPr>
      <w:r>
        <w:rPr>
          <w:rFonts w:ascii="PMingLiU" w:cs="PMingLiU" w:eastAsia="PMingLiU" w:hAnsi="PMingLiU"/>
          <w:sz w:val="18"/>
          <w:szCs w:val="18"/>
          <w:color w:val="auto"/>
        </w:rPr>
        <w:t>中正達會計師事務所</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Centurion ZD CPA &amp; Co.</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Certified Public Accountants (Practising)</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1304, 13/F, Two Harbourfront, 22 Tak Fung Street, Hunghom, Hong Kong.</w:t>
      </w:r>
    </w:p>
    <w:p>
      <w:pPr>
        <w:spacing w:after="0" w:line="24" w:lineRule="exact"/>
        <w:rPr>
          <w:sz w:val="20"/>
          <w:szCs w:val="20"/>
          <w:color w:val="auto"/>
        </w:rPr>
      </w:pPr>
    </w:p>
    <w:p>
      <w:pPr>
        <w:spacing w:after="0" w:line="219" w:lineRule="exact"/>
        <w:rPr>
          <w:sz w:val="20"/>
          <w:szCs w:val="20"/>
          <w:color w:val="auto"/>
        </w:rPr>
      </w:pPr>
      <w:r>
        <w:rPr>
          <w:rFonts w:ascii="PMingLiU" w:cs="PMingLiU" w:eastAsia="PMingLiU" w:hAnsi="PMingLiU"/>
          <w:sz w:val="18"/>
          <w:szCs w:val="18"/>
          <w:color w:val="auto"/>
        </w:rPr>
        <w:t>香港紅磡 德豐街</w:t>
      </w:r>
      <w:r>
        <w:rPr>
          <w:rFonts w:ascii="Times New Roman" w:cs="Times New Roman" w:eastAsia="Times New Roman" w:hAnsi="Times New Roman"/>
          <w:sz w:val="18"/>
          <w:szCs w:val="18"/>
          <w:color w:val="auto"/>
        </w:rPr>
        <w:t>22</w:t>
      </w:r>
      <w:r>
        <w:rPr>
          <w:rFonts w:ascii="PMingLiU" w:cs="PMingLiU" w:eastAsia="PMingLiU" w:hAnsi="PMingLiU"/>
          <w:sz w:val="18"/>
          <w:szCs w:val="18"/>
          <w:color w:val="auto"/>
        </w:rPr>
        <w:t>號 海濱廣場二期</w:t>
      </w:r>
      <w:r>
        <w:rPr>
          <w:rFonts w:ascii="Times New Roman" w:cs="Times New Roman" w:eastAsia="Times New Roman" w:hAnsi="Times New Roman"/>
          <w:sz w:val="18"/>
          <w:szCs w:val="18"/>
          <w:color w:val="auto"/>
        </w:rPr>
        <w:t xml:space="preserve"> 13</w:t>
      </w:r>
      <w:r>
        <w:rPr>
          <w:rFonts w:ascii="PMingLiU" w:cs="PMingLiU" w:eastAsia="PMingLiU" w:hAnsi="PMingLiU"/>
          <w:sz w:val="18"/>
          <w:szCs w:val="18"/>
          <w:color w:val="auto"/>
        </w:rPr>
        <w:t>樓</w:t>
      </w:r>
      <w:r>
        <w:rPr>
          <w:rFonts w:ascii="Times New Roman" w:cs="Times New Roman" w:eastAsia="Times New Roman" w:hAnsi="Times New Roman"/>
          <w:sz w:val="18"/>
          <w:szCs w:val="18"/>
          <w:color w:val="auto"/>
        </w:rPr>
        <w:t>1304</w:t>
      </w:r>
      <w:r>
        <w:rPr>
          <w:rFonts w:ascii="PMingLiU" w:cs="PMingLiU" w:eastAsia="PMingLiU" w:hAnsi="PMingLiU"/>
          <w:sz w:val="18"/>
          <w:szCs w:val="18"/>
          <w:color w:val="auto"/>
        </w:rPr>
        <w:t>室</w:t>
      </w:r>
    </w:p>
    <w:p>
      <w:pPr>
        <w:spacing w:after="0" w:line="1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Tel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2126 2388  Fax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(852) 2122 9078</w:t>
      </w:r>
    </w:p>
    <w:p>
      <w:pPr>
        <w:spacing w:after="0" w:line="2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Email </w:t>
      </w:r>
      <w:r>
        <w:rPr>
          <w:rFonts w:ascii="PMingLiU" w:cs="PMingLiU" w:eastAsia="PMingLiU" w:hAnsi="PMingLiU"/>
          <w:sz w:val="18"/>
          <w:szCs w:val="18"/>
          <w:color w:val="auto"/>
        </w:rPr>
        <w:t>電郵</w:t>
      </w:r>
      <w:r>
        <w:rPr>
          <w:rFonts w:ascii="Times New Roman" w:cs="Times New Roman" w:eastAsia="Times New Roman" w:hAnsi="Times New Roman"/>
          <w:sz w:val="18"/>
          <w:szCs w:val="18"/>
          <w:color w:val="auto"/>
        </w:rPr>
        <w:t>: info@czdcpa.com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333-232089) pertaining to the 2019 Share Option Plan of Luckin Coffee Inc. and the registration statement on Form S-8 (File No. 333-260577) pertaining to the 2021 Equity Incentive Plan of Luckin Coffee Inc. of our report dated April 14, 2022, with respect to the consolidated financial statements of Luckin Coffee Inc., included in this Annual Report (Form 20-F) for the year ended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Centurion ZD CPA &amp; Co.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Centurion ZD CPA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China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LUCKIN COFFEE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RECOUPMENT POLICY</w:t>
      </w:r>
    </w:p>
    <w:p>
      <w:pPr>
        <w:spacing w:after="0" w:line="127" w:lineRule="exact"/>
        <w:rPr>
          <w:sz w:val="20"/>
          <w:szCs w:val="20"/>
          <w:color w:val="auto"/>
        </w:rPr>
      </w:pPr>
    </w:p>
    <w:p>
      <w:pPr>
        <w:ind w:left="20" w:right="40" w:firstLine="1187"/>
        <w:spacing w:after="0" w:line="251" w:lineRule="auto"/>
        <w:rPr>
          <w:sz w:val="20"/>
          <w:szCs w:val="20"/>
          <w:color w:val="auto"/>
        </w:rPr>
      </w:pPr>
      <w:r>
        <w:rPr>
          <w:rFonts w:ascii="Times New Roman" w:cs="Times New Roman" w:eastAsia="Times New Roman" w:hAnsi="Times New Roman"/>
          <w:sz w:val="17"/>
          <w:szCs w:val="17"/>
          <w:color w:val="auto"/>
        </w:rPr>
        <w:t>This Compensation Recoupment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has been adopted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Luckin Coffee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on December 1,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7"/>
          <w:szCs w:val="17"/>
          <w:b w:val="1"/>
          <w:bCs w:val="1"/>
          <w:color w:val="auto"/>
        </w:rPr>
        <w:t>Listing Rule</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540" w:hanging="525"/>
        <w:spacing w:after="0"/>
        <w:tabs>
          <w:tab w:leader="none" w:pos="5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of this Policy, the following terms shall have the meanings set forth below.</w:t>
      </w:r>
    </w:p>
    <w:p>
      <w:pPr>
        <w:spacing w:after="0" w:line="158" w:lineRule="exact"/>
        <w:rPr>
          <w:sz w:val="20"/>
          <w:szCs w:val="20"/>
          <w:color w:val="auto"/>
        </w:rPr>
      </w:pPr>
    </w:p>
    <w:p>
      <w:pPr>
        <w:ind w:left="900" w:hanging="893"/>
        <w:spacing w:after="0"/>
        <w:tabs>
          <w:tab w:leader="none" w:pos="9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compensation committee of the Board or any successor committee thereof.</w:t>
      </w:r>
    </w:p>
    <w:p>
      <w:pPr>
        <w:spacing w:after="0" w:line="162" w:lineRule="exact"/>
        <w:rPr>
          <w:rFonts w:ascii="Times New Roman" w:cs="Times New Roman" w:eastAsia="Times New Roman" w:hAnsi="Times New Roman"/>
          <w:sz w:val="17"/>
          <w:szCs w:val="17"/>
          <w:color w:val="auto"/>
        </w:rPr>
      </w:pPr>
    </w:p>
    <w:p>
      <w:pPr>
        <w:ind w:left="900" w:right="460" w:hanging="893"/>
        <w:spacing w:after="0" w:line="275" w:lineRule="auto"/>
        <w:tabs>
          <w:tab w:leader="none" w:pos="9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Compensation</w:t>
      </w:r>
      <w:r>
        <w:rPr>
          <w:rFonts w:ascii="Times New Roman" w:cs="Times New Roman" w:eastAsia="Times New Roman" w:hAnsi="Times New Roman"/>
          <w:sz w:val="17"/>
          <w:szCs w:val="17"/>
          <w:color w:val="auto"/>
        </w:rPr>
        <w:t xml:space="preserve">” means any Incentive-based Compensation “received” by a Covered Executive during the applicable Recoupment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13" w:lineRule="exact"/>
        <w:rPr>
          <w:sz w:val="20"/>
          <w:szCs w:val="20"/>
          <w:color w:val="auto"/>
        </w:rPr>
      </w:pPr>
    </w:p>
    <w:p>
      <w:pPr>
        <w:ind w:left="20" w:right="40" w:hanging="13"/>
        <w:spacing w:after="0" w:line="257" w:lineRule="auto"/>
        <w:tabs>
          <w:tab w:leader="none" w:pos="647"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Covered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27" w:lineRule="exact"/>
        <w:rPr>
          <w:rFonts w:ascii="Times New Roman" w:cs="Times New Roman" w:eastAsia="Times New Roman" w:hAnsi="Times New Roman"/>
          <w:sz w:val="17"/>
          <w:szCs w:val="17"/>
          <w:color w:val="auto"/>
        </w:rPr>
      </w:pPr>
    </w:p>
    <w:p>
      <w:pPr>
        <w:ind w:left="20" w:right="320" w:hanging="13"/>
        <w:spacing w:after="0" w:line="270" w:lineRule="auto"/>
        <w:tabs>
          <w:tab w:leader="none" w:pos="647"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Covered Executive served as an Executive Officer at any time during the performance period applicable to such Incentive-based Compensation.</w:t>
      </w:r>
    </w:p>
    <w:p>
      <w:pPr>
        <w:spacing w:after="0" w:line="113" w:lineRule="exact"/>
        <w:rPr>
          <w:sz w:val="20"/>
          <w:szCs w:val="20"/>
          <w:color w:val="auto"/>
        </w:rPr>
      </w:pPr>
    </w:p>
    <w:p>
      <w:pPr>
        <w:ind w:left="20" w:right="200" w:hanging="8"/>
        <w:spacing w:after="0" w:line="259" w:lineRule="auto"/>
        <w:rPr>
          <w:sz w:val="20"/>
          <w:szCs w:val="20"/>
          <w:color w:val="auto"/>
        </w:rPr>
      </w:pPr>
      <w:r>
        <w:rPr>
          <w:rFonts w:ascii="Times New Roman" w:cs="Times New Roman" w:eastAsia="Times New Roman" w:hAnsi="Times New Roman"/>
          <w:sz w:val="17"/>
          <w:szCs w:val="17"/>
          <w:color w:val="auto"/>
        </w:rPr>
        <w:t>For purposes of this Policy, Incentive-based Compensation is “</w:t>
      </w:r>
      <w:r>
        <w:rPr>
          <w:rFonts w:ascii="Times New Roman" w:cs="Times New Roman" w:eastAsia="Times New Roman" w:hAnsi="Times New Roman"/>
          <w:sz w:val="17"/>
          <w:szCs w:val="17"/>
          <w:b w:val="1"/>
          <w:bCs w:val="1"/>
          <w:color w:val="auto"/>
        </w:rPr>
        <w:t>received</w:t>
      </w:r>
      <w:r>
        <w:rPr>
          <w:rFonts w:ascii="Times New Roman" w:cs="Times New Roman" w:eastAsia="Times New Roman" w:hAnsi="Times New Roman"/>
          <w:sz w:val="17"/>
          <w:szCs w:val="17"/>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22" w:lineRule="exact"/>
        <w:rPr>
          <w:sz w:val="20"/>
          <w:szCs w:val="20"/>
          <w:color w:val="auto"/>
        </w:rPr>
      </w:pPr>
    </w:p>
    <w:p>
      <w:pPr>
        <w:ind w:left="20" w:right="580" w:hanging="13"/>
        <w:spacing w:after="0" w:line="275" w:lineRule="auto"/>
        <w:tabs>
          <w:tab w:leader="none" w:pos="96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Covered Executive</w:t>
      </w:r>
      <w:r>
        <w:rPr>
          <w:rFonts w:ascii="Times New Roman" w:cs="Times New Roman" w:eastAsia="Times New Roman" w:hAnsi="Times New Roman"/>
          <w:sz w:val="17"/>
          <w:szCs w:val="17"/>
          <w:color w:val="auto"/>
        </w:rPr>
        <w:t>” means any (i) current or former Executive Officer and (ii) any other employee of the Company and its subsidiaries designated by the Committee as subject to this Policy from time to time.</w:t>
      </w:r>
    </w:p>
    <w:p>
      <w:pPr>
        <w:spacing w:after="0" w:line="108" w:lineRule="exact"/>
        <w:rPr>
          <w:rFonts w:ascii="Times New Roman" w:cs="Times New Roman" w:eastAsia="Times New Roman" w:hAnsi="Times New Roman"/>
          <w:sz w:val="17"/>
          <w:szCs w:val="17"/>
          <w:color w:val="auto"/>
        </w:rPr>
      </w:pPr>
    </w:p>
    <w:p>
      <w:pPr>
        <w:ind w:left="960" w:hanging="953"/>
        <w:spacing w:after="0"/>
        <w:tabs>
          <w:tab w:leader="none" w:pos="9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October 2, 2023.</w:t>
      </w:r>
    </w:p>
    <w:p>
      <w:pPr>
        <w:spacing w:after="0" w:line="162" w:lineRule="exact"/>
        <w:rPr>
          <w:rFonts w:ascii="Times New Roman" w:cs="Times New Roman" w:eastAsia="Times New Roman" w:hAnsi="Times New Roman"/>
          <w:sz w:val="17"/>
          <w:szCs w:val="17"/>
          <w:color w:val="auto"/>
        </w:rPr>
      </w:pPr>
    </w:p>
    <w:p>
      <w:pPr>
        <w:ind w:left="960" w:hanging="953"/>
        <w:spacing w:after="0"/>
        <w:tabs>
          <w:tab w:leader="none" w:pos="9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162" w:lineRule="exact"/>
        <w:rPr>
          <w:rFonts w:ascii="Times New Roman" w:cs="Times New Roman" w:eastAsia="Times New Roman" w:hAnsi="Times New Roman"/>
          <w:sz w:val="17"/>
          <w:szCs w:val="17"/>
          <w:color w:val="auto"/>
        </w:rPr>
      </w:pPr>
    </w:p>
    <w:p>
      <w:pPr>
        <w:ind w:left="20" w:right="40" w:hanging="13"/>
        <w:spacing w:after="0" w:line="249" w:lineRule="auto"/>
        <w:tabs>
          <w:tab w:leader="none" w:pos="96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17"/>
          <w:szCs w:val="17"/>
          <w:color w:val="auto"/>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30" w:lineRule="exact"/>
        <w:rPr>
          <w:rFonts w:ascii="Times New Roman" w:cs="Times New Roman" w:eastAsia="Times New Roman" w:hAnsi="Times New Roman"/>
          <w:sz w:val="17"/>
          <w:szCs w:val="17"/>
          <w:color w:val="auto"/>
        </w:rPr>
      </w:pPr>
    </w:p>
    <w:p>
      <w:pPr>
        <w:jc w:val="both"/>
        <w:ind w:left="20" w:right="300" w:hanging="13"/>
        <w:spacing w:after="0" w:line="251" w:lineRule="auto"/>
        <w:tabs>
          <w:tab w:leader="none" w:pos="96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Reporting Measure</w:t>
      </w:r>
      <w:r>
        <w:rPr>
          <w:rFonts w:ascii="Times New Roman" w:cs="Times New Roman" w:eastAsia="Times New Roman" w:hAnsi="Times New Roman"/>
          <w:sz w:val="17"/>
          <w:szCs w:val="17"/>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130" w:lineRule="exact"/>
        <w:rPr>
          <w:rFonts w:ascii="Times New Roman" w:cs="Times New Roman" w:eastAsia="Times New Roman" w:hAnsi="Times New Roman"/>
          <w:sz w:val="17"/>
          <w:szCs w:val="17"/>
          <w:color w:val="auto"/>
        </w:rPr>
      </w:pPr>
    </w:p>
    <w:p>
      <w:pPr>
        <w:ind w:left="20" w:right="20" w:hanging="13"/>
        <w:spacing w:after="0" w:line="275" w:lineRule="auto"/>
        <w:tabs>
          <w:tab w:leader="none" w:pos="96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Restatement</w:t>
      </w:r>
      <w:r>
        <w:rPr>
          <w:rFonts w:ascii="Times New Roman" w:cs="Times New Roman" w:eastAsia="Times New Roman" w:hAnsi="Times New Roman"/>
          <w:sz w:val="17"/>
          <w:szCs w:val="17"/>
          <w:color w:val="auto"/>
        </w:rPr>
        <w:t>” means a restatement of the Company’s financial statements due to the Company’s material noncompliance with any financial reporting requirement under U.S. federal securities laws that is required in order to correct:</w:t>
      </w:r>
    </w:p>
    <w:p>
      <w:pPr>
        <w:spacing w:after="0" w:line="112" w:lineRule="exact"/>
        <w:rPr>
          <w:rFonts w:ascii="Times New Roman" w:cs="Times New Roman" w:eastAsia="Times New Roman" w:hAnsi="Times New Roman"/>
          <w:sz w:val="17"/>
          <w:szCs w:val="17"/>
          <w:color w:val="auto"/>
        </w:rPr>
      </w:pPr>
    </w:p>
    <w:p>
      <w:pPr>
        <w:ind w:left="640" w:hanging="633"/>
        <w:spacing w:after="0"/>
        <w:tabs>
          <w:tab w:leader="none" w:pos="6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error in previously issued financial statements that is material to the previously issued financial statements; 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348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326" w:right="999" w:bottom="1440" w:gutter="0" w:footer="0" w:header="0"/>
        </w:sectPr>
      </w:pPr>
    </w:p>
    <w:bookmarkStart w:id="248" w:name="page249"/>
    <w:bookmarkEnd w:id="248"/>
    <w:p>
      <w:pPr>
        <w:ind w:left="13" w:right="320" w:hanging="13"/>
        <w:spacing w:after="0" w:line="270" w:lineRule="auto"/>
        <w:tabs>
          <w:tab w:leader="none" w:pos="6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error that would result in a material misstatement if the error were (A) corrected in the current period or (B) left uncorrected in the current period.</w:t>
      </w:r>
    </w:p>
    <w:p>
      <w:pPr>
        <w:spacing w:after="0" w:line="117" w:lineRule="exact"/>
        <w:rPr>
          <w:sz w:val="20"/>
          <w:szCs w:val="20"/>
          <w:color w:val="auto"/>
        </w:rPr>
      </w:pPr>
    </w:p>
    <w:p>
      <w:pPr>
        <w:ind w:left="13" w:right="60" w:hanging="8"/>
        <w:spacing w:after="0" w:line="249" w:lineRule="auto"/>
        <w:rPr>
          <w:sz w:val="20"/>
          <w:szCs w:val="20"/>
          <w:color w:val="auto"/>
        </w:rPr>
      </w:pPr>
      <w:r>
        <w:rPr>
          <w:rFonts w:ascii="Times New Roman" w:cs="Times New Roman" w:eastAsia="Times New Roman" w:hAnsi="Times New Roman"/>
          <w:sz w:val="17"/>
          <w:szCs w:val="17"/>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31" w:lineRule="exact"/>
        <w:rPr>
          <w:sz w:val="20"/>
          <w:szCs w:val="20"/>
          <w:color w:val="auto"/>
        </w:rPr>
      </w:pPr>
    </w:p>
    <w:p>
      <w:pPr>
        <w:ind w:left="13" w:right="20" w:hanging="13"/>
        <w:spacing w:after="0" w:line="250" w:lineRule="auto"/>
        <w:tabs>
          <w:tab w:leader="none" w:pos="95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Incentive-based Compensation”</w:t>
      </w:r>
      <w:r>
        <w:rPr>
          <w:rFonts w:ascii="Times New Roman" w:cs="Times New Roman" w:eastAsia="Times New Roman" w:hAnsi="Times New Roman"/>
          <w:sz w:val="17"/>
          <w:szCs w:val="17"/>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29" w:lineRule="exact"/>
        <w:rPr>
          <w:rFonts w:ascii="Times New Roman" w:cs="Times New Roman" w:eastAsia="Times New Roman" w:hAnsi="Times New Roman"/>
          <w:sz w:val="17"/>
          <w:szCs w:val="17"/>
          <w:color w:val="auto"/>
        </w:rPr>
      </w:pPr>
    </w:p>
    <w:p>
      <w:pPr>
        <w:ind w:left="953" w:hanging="953"/>
        <w:spacing w:after="0"/>
        <w:tabs>
          <w:tab w:leader="none" w:pos="95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means the NASDAQ Global Select Market, or any successor thereof.</w:t>
      </w:r>
    </w:p>
    <w:p>
      <w:pPr>
        <w:spacing w:after="0" w:line="162" w:lineRule="exact"/>
        <w:rPr>
          <w:rFonts w:ascii="Times New Roman" w:cs="Times New Roman" w:eastAsia="Times New Roman" w:hAnsi="Times New Roman"/>
          <w:sz w:val="17"/>
          <w:szCs w:val="17"/>
          <w:color w:val="auto"/>
        </w:rPr>
      </w:pPr>
    </w:p>
    <w:p>
      <w:pPr>
        <w:ind w:left="13" w:hanging="13"/>
        <w:spacing w:after="0" w:line="251" w:lineRule="auto"/>
        <w:tabs>
          <w:tab w:leader="none" w:pos="95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Recoupment</w:t>
      </w:r>
      <w:r>
        <w:rPr>
          <w:rFonts w:ascii="Times New Roman" w:cs="Times New Roman" w:eastAsia="Times New Roman" w:hAnsi="Times New Roman"/>
          <w:sz w:val="17"/>
          <w:szCs w:val="17"/>
          <w:color w:val="auto"/>
        </w:rPr>
        <w:t xml:space="preserve"> Period”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30" w:lineRule="exact"/>
        <w:rPr>
          <w:rFonts w:ascii="Times New Roman" w:cs="Times New Roman" w:eastAsia="Times New Roman" w:hAnsi="Times New Roman"/>
          <w:sz w:val="17"/>
          <w:szCs w:val="17"/>
          <w:color w:val="auto"/>
        </w:rPr>
      </w:pPr>
    </w:p>
    <w:p>
      <w:pPr>
        <w:ind w:left="13" w:right="160" w:hanging="13"/>
        <w:spacing w:after="0" w:line="254" w:lineRule="auto"/>
        <w:tabs>
          <w:tab w:leader="none" w:pos="95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Recoupment Trigger Date</w:t>
      </w:r>
      <w:r>
        <w:rPr>
          <w:rFonts w:ascii="Times New Roman" w:cs="Times New Roman" w:eastAsia="Times New Roman" w:hAnsi="Times New Roman"/>
          <w:sz w:val="17"/>
          <w:szCs w:val="17"/>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30" w:lineRule="exact"/>
        <w:rPr>
          <w:rFonts w:ascii="Times New Roman" w:cs="Times New Roman" w:eastAsia="Times New Roman" w:hAnsi="Times New Roman"/>
          <w:sz w:val="17"/>
          <w:szCs w:val="17"/>
          <w:color w:val="auto"/>
        </w:rPr>
      </w:pPr>
    </w:p>
    <w:p>
      <w:pPr>
        <w:ind w:left="1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6"/>
          <w:szCs w:val="16"/>
          <w:u w:val="single" w:color="auto"/>
          <w:color w:val="auto"/>
        </w:rPr>
        <w:t>Recoupment of Erroneously Awarded Compensation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953" w:hanging="953"/>
        <w:spacing w:after="0"/>
        <w:tabs>
          <w:tab w:leader="none" w:pos="953"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Financial Restatement, if the amount of any Covered Compensation received by a Covered Executive (the</w:t>
      </w:r>
    </w:p>
    <w:p>
      <w:pPr>
        <w:spacing w:after="0" w:line="21" w:lineRule="exact"/>
        <w:rPr>
          <w:sz w:val="20"/>
          <w:szCs w:val="20"/>
          <w:color w:val="auto"/>
        </w:rPr>
      </w:pPr>
    </w:p>
    <w:p>
      <w:pPr>
        <w:ind w:left="13" w:right="80"/>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Awarded Compensation</w:t>
      </w:r>
      <w:r>
        <w:rPr>
          <w:rFonts w:ascii="Times New Roman" w:cs="Times New Roman" w:eastAsia="Times New Roman" w:hAnsi="Times New Roman"/>
          <w:sz w:val="17"/>
          <w:szCs w:val="17"/>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7"/>
          <w:szCs w:val="17"/>
          <w:b w:val="1"/>
          <w:bCs w:val="1"/>
          <w:color w:val="auto"/>
        </w:rPr>
        <w:t>Adjusted Compensation</w:t>
      </w:r>
      <w:r>
        <w:rPr>
          <w:rFonts w:ascii="Times New Roman" w:cs="Times New Roman" w:eastAsia="Times New Roman" w:hAnsi="Times New Roman"/>
          <w:sz w:val="17"/>
          <w:szCs w:val="17"/>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7"/>
          <w:szCs w:val="17"/>
          <w:b w:val="1"/>
          <w:bCs w:val="1"/>
          <w:color w:val="auto"/>
        </w:rPr>
        <w:t>Erroneously Awarded Compensation</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left="13" w:right="80" w:hanging="13"/>
        <w:spacing w:after="0" w:line="270" w:lineRule="auto"/>
        <w:tabs>
          <w:tab w:leader="none" w:pos="95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17" w:lineRule="exact"/>
        <w:rPr>
          <w:rFonts w:ascii="Times New Roman" w:cs="Times New Roman" w:eastAsia="Times New Roman" w:hAnsi="Times New Roman"/>
          <w:sz w:val="16"/>
          <w:szCs w:val="16"/>
          <w:color w:val="auto"/>
        </w:rPr>
      </w:pPr>
    </w:p>
    <w:p>
      <w:pPr>
        <w:ind w:left="13" w:right="200" w:hanging="13"/>
        <w:spacing w:after="0" w:line="257" w:lineRule="auto"/>
        <w:tabs>
          <w:tab w:leader="none" w:pos="9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27" w:lineRule="exact"/>
        <w:rPr>
          <w:rFonts w:ascii="Times New Roman" w:cs="Times New Roman" w:eastAsia="Times New Roman" w:hAnsi="Times New Roman"/>
          <w:sz w:val="17"/>
          <w:szCs w:val="17"/>
          <w:color w:val="auto"/>
        </w:rPr>
      </w:pPr>
    </w:p>
    <w:p>
      <w:pPr>
        <w:ind w:left="13" w:right="240" w:hanging="13"/>
        <w:spacing w:after="0" w:line="257" w:lineRule="auto"/>
        <w:tabs>
          <w:tab w:leader="none" w:pos="9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Sections 2(a) through (c) hereof, the Company shall not be required to recover any Erroneously Awarded Compensation if both (x) the conditions set forth in either of the following clauses (i), (ii), or (iii) are satisfied and (y) the Board’s committee of independent directors responsible for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893"/>
          </w:cols>
          <w:pgMar w:left="987" w:top="860" w:right="1019" w:bottom="1440" w:gutter="0" w:footer="0" w:header="0"/>
        </w:sectPr>
      </w:pPr>
    </w:p>
    <w:bookmarkStart w:id="249" w:name="page250"/>
    <w:bookmarkEnd w:id="249"/>
    <w:p>
      <w:pPr>
        <w:ind w:left="13" w:right="520" w:hanging="8"/>
        <w:spacing w:after="0" w:line="270" w:lineRule="auto"/>
        <w:rPr>
          <w:sz w:val="20"/>
          <w:szCs w:val="20"/>
          <w:color w:val="auto"/>
        </w:rPr>
      </w:pPr>
      <w:r>
        <w:rPr>
          <w:rFonts w:ascii="Times New Roman" w:cs="Times New Roman" w:eastAsia="Times New Roman" w:hAnsi="Times New Roman"/>
          <w:sz w:val="17"/>
          <w:szCs w:val="17"/>
          <w:color w:val="auto"/>
        </w:rPr>
        <w:t>executive compensation decisions (or, in the absence of such a committee, a majority of the independent directors serving on the Board) has determined that recovery of the Erroneously Awarded Compensation would be impracticable:</w:t>
      </w:r>
    </w:p>
    <w:p>
      <w:pPr>
        <w:spacing w:after="0" w:line="117" w:lineRule="exact"/>
        <w:rPr>
          <w:sz w:val="20"/>
          <w:szCs w:val="20"/>
          <w:color w:val="auto"/>
        </w:rPr>
      </w:pPr>
    </w:p>
    <w:p>
      <w:pPr>
        <w:ind w:left="13" w:right="100" w:hanging="13"/>
        <w:spacing w:after="0" w:line="250" w:lineRule="auto"/>
        <w:tabs>
          <w:tab w:leader="none" w:pos="6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spacing w:after="0" w:line="134" w:lineRule="exact"/>
        <w:rPr>
          <w:rFonts w:ascii="Times New Roman" w:cs="Times New Roman" w:eastAsia="Times New Roman" w:hAnsi="Times New Roman"/>
          <w:sz w:val="17"/>
          <w:szCs w:val="17"/>
          <w:color w:val="auto"/>
        </w:rPr>
      </w:pPr>
    </w:p>
    <w:p>
      <w:pPr>
        <w:ind w:left="13" w:hanging="13"/>
        <w:spacing w:after="0" w:line="253" w:lineRule="auto"/>
        <w:tabs>
          <w:tab w:leader="none" w:pos="6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of the Erroneously Awarded Compensation would violate Cayman Islands law to the extent such law was adopted prior to November 28, 2022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before concluding that it would be impracticable to recover any amount of Erroneously Awarded Compensation pursuant to this Section 2(d)), the Company shall have first obtained an opinion of home country counsel of the Cayman Islands, that is acceptable to the Nasdaq, that recovery would result in such a violation, and the Company must provide such opinion to the Nasdaq; or</w:t>
      </w:r>
    </w:p>
    <w:p>
      <w:pPr>
        <w:spacing w:after="0" w:line="129" w:lineRule="exact"/>
        <w:rPr>
          <w:rFonts w:ascii="Times New Roman" w:cs="Times New Roman" w:eastAsia="Times New Roman" w:hAnsi="Times New Roman"/>
          <w:sz w:val="17"/>
          <w:szCs w:val="17"/>
          <w:color w:val="auto"/>
        </w:rPr>
      </w:pPr>
    </w:p>
    <w:p>
      <w:pPr>
        <w:jc w:val="both"/>
        <w:ind w:left="13" w:right="100" w:hanging="13"/>
        <w:spacing w:after="0" w:line="257" w:lineRule="auto"/>
        <w:tabs>
          <w:tab w:leader="none" w:pos="6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left="13" w:right="140" w:hanging="13"/>
        <w:spacing w:after="0" w:line="257" w:lineRule="auto"/>
        <w:tabs>
          <w:tab w:leader="none" w:pos="95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27" w:lineRule="exact"/>
        <w:rPr>
          <w:rFonts w:ascii="Times New Roman" w:cs="Times New Roman" w:eastAsia="Times New Roman" w:hAnsi="Times New Roman"/>
          <w:sz w:val="17"/>
          <w:szCs w:val="17"/>
          <w:color w:val="auto"/>
        </w:rPr>
      </w:pPr>
    </w:p>
    <w:p>
      <w:pPr>
        <w:ind w:left="13" w:right="20" w:hanging="13"/>
        <w:spacing w:after="0" w:line="247" w:lineRule="auto"/>
        <w:tabs>
          <w:tab w:leader="none" w:pos="95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35" w:lineRule="exact"/>
        <w:rPr>
          <w:sz w:val="20"/>
          <w:szCs w:val="20"/>
          <w:color w:val="auto"/>
        </w:rPr>
      </w:pPr>
    </w:p>
    <w:p>
      <w:pPr>
        <w:ind w:left="13" w:right="40" w:hanging="13"/>
        <w:spacing w:after="0" w:line="247" w:lineRule="auto"/>
        <w:tabs>
          <w:tab w:leader="none" w:pos="641"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39" w:lineRule="exact"/>
        <w:rPr>
          <w:rFonts w:ascii="Times New Roman" w:cs="Times New Roman" w:eastAsia="Times New Roman" w:hAnsi="Times New Roman"/>
          <w:sz w:val="17"/>
          <w:szCs w:val="17"/>
          <w:color w:val="auto"/>
        </w:rPr>
      </w:pPr>
    </w:p>
    <w:p>
      <w:pPr>
        <w:ind w:left="13" w:hanging="13"/>
        <w:spacing w:after="0" w:line="249" w:lineRule="auto"/>
        <w:tabs>
          <w:tab w:leader="none" w:pos="641"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Amendment/Termination</w:t>
      </w:r>
      <w:r>
        <w:rPr>
          <w:rFonts w:ascii="Times New Roman" w:cs="Times New Roman" w:eastAsia="Times New Roman" w:hAnsi="Times New Roman"/>
          <w:sz w:val="17"/>
          <w:szCs w:val="17"/>
          <w:color w:val="auto"/>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13"/>
          </w:cols>
          <w:pgMar w:left="987" w:top="860" w:right="999" w:bottom="1440" w:gutter="0" w:footer="0" w:header="0"/>
        </w:sectPr>
      </w:pPr>
    </w:p>
    <w:bookmarkStart w:id="250" w:name="page251"/>
    <w:bookmarkEnd w:id="250"/>
    <w:p>
      <w:pPr>
        <w:ind w:left="13" w:right="20" w:hanging="13"/>
        <w:spacing w:after="0" w:line="250" w:lineRule="auto"/>
        <w:tabs>
          <w:tab w:leader="none" w:pos="64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34" w:lineRule="exact"/>
        <w:rPr>
          <w:rFonts w:ascii="Times New Roman" w:cs="Times New Roman" w:eastAsia="Times New Roman" w:hAnsi="Times New Roman"/>
          <w:sz w:val="17"/>
          <w:szCs w:val="17"/>
          <w:color w:val="auto"/>
        </w:rPr>
      </w:pPr>
    </w:p>
    <w:p>
      <w:pPr>
        <w:ind w:left="13" w:right="100" w:hanging="13"/>
        <w:spacing w:after="0" w:line="248" w:lineRule="auto"/>
        <w:tabs>
          <w:tab w:leader="none" w:pos="64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Compensation Clawback/Recoupment Rights</w:t>
      </w:r>
      <w:r>
        <w:rPr>
          <w:rFonts w:ascii="Times New Roman" w:cs="Times New Roman" w:eastAsia="Times New Roman" w:hAnsi="Times New Roman"/>
          <w:sz w:val="17"/>
          <w:szCs w:val="17"/>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amounts recouped or clawed back under any other policy that would be recoupable under this Policy shall count toward any required clawback or recoupment under this Policy and vice versa.</w:t>
      </w:r>
    </w:p>
    <w:p>
      <w:pPr>
        <w:spacing w:after="0" w:line="136" w:lineRule="exact"/>
        <w:rPr>
          <w:rFonts w:ascii="Times New Roman" w:cs="Times New Roman" w:eastAsia="Times New Roman" w:hAnsi="Times New Roman"/>
          <w:sz w:val="17"/>
          <w:szCs w:val="17"/>
          <w:color w:val="auto"/>
        </w:rPr>
      </w:pPr>
    </w:p>
    <w:p>
      <w:pPr>
        <w:ind w:left="13" w:right="60" w:hanging="13"/>
        <w:spacing w:after="0" w:line="249" w:lineRule="auto"/>
        <w:tabs>
          <w:tab w:leader="none" w:pos="641"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Compensation</w:t>
      </w:r>
      <w:r>
        <w:rPr>
          <w:rFonts w:ascii="Times New Roman" w:cs="Times New Roman" w:eastAsia="Times New Roman" w:hAnsi="Times New Roman"/>
          <w:sz w:val="17"/>
          <w:szCs w:val="17"/>
          <w:color w:val="auto"/>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amounts are in no way contingent on, and were not in any way granted on the basis of, the achievement of any Financial Reporting Measure performance goal.</w:t>
      </w:r>
    </w:p>
    <w:p>
      <w:pPr>
        <w:spacing w:after="0" w:line="134" w:lineRule="exact"/>
        <w:rPr>
          <w:rFonts w:ascii="Times New Roman" w:cs="Times New Roman" w:eastAsia="Times New Roman" w:hAnsi="Times New Roman"/>
          <w:sz w:val="17"/>
          <w:szCs w:val="17"/>
          <w:color w:val="auto"/>
        </w:rPr>
      </w:pPr>
    </w:p>
    <w:p>
      <w:pPr>
        <w:ind w:left="573" w:hanging="573"/>
        <w:spacing w:after="0"/>
        <w:tabs>
          <w:tab w:leader="none" w:pos="57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162" w:lineRule="exact"/>
        <w:rPr>
          <w:sz w:val="20"/>
          <w:szCs w:val="20"/>
          <w:color w:val="auto"/>
        </w:rPr>
      </w:pPr>
    </w:p>
    <w:p>
      <w:pPr>
        <w:ind w:left="13" w:right="220" w:hanging="13"/>
        <w:spacing w:after="0" w:line="249" w:lineRule="auto"/>
        <w:tabs>
          <w:tab w:leader="none" w:pos="95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currently effective share incentive plans and any successor plan thereto.</w:t>
      </w:r>
    </w:p>
    <w:p>
      <w:pPr>
        <w:spacing w:after="0" w:line="134" w:lineRule="exact"/>
        <w:rPr>
          <w:rFonts w:ascii="Times New Roman" w:cs="Times New Roman" w:eastAsia="Times New Roman" w:hAnsi="Times New Roman"/>
          <w:sz w:val="17"/>
          <w:szCs w:val="17"/>
          <w:color w:val="auto"/>
        </w:rPr>
      </w:pPr>
    </w:p>
    <w:p>
      <w:pPr>
        <w:ind w:left="13" w:right="140" w:hanging="13"/>
        <w:spacing w:after="0" w:line="270" w:lineRule="auto"/>
        <w:tabs>
          <w:tab w:leader="none" w:pos="95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shall be binding and enforceable against all Covered Executives and their beneficiaries, heirs, executors, administrators or other legal representatives.</w:t>
      </w:r>
    </w:p>
    <w:p>
      <w:pPr>
        <w:spacing w:after="0" w:line="116" w:lineRule="exact"/>
        <w:rPr>
          <w:rFonts w:ascii="Times New Roman" w:cs="Times New Roman" w:eastAsia="Times New Roman" w:hAnsi="Times New Roman"/>
          <w:sz w:val="17"/>
          <w:szCs w:val="17"/>
          <w:color w:val="auto"/>
        </w:rPr>
      </w:pPr>
    </w:p>
    <w:p>
      <w:pPr>
        <w:jc w:val="both"/>
        <w:ind w:left="13" w:hanging="13"/>
        <w:spacing w:after="0" w:line="273" w:lineRule="auto"/>
        <w:tabs>
          <w:tab w:leader="none" w:pos="95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16" w:lineRule="exact"/>
        <w:rPr>
          <w:rFonts w:ascii="Times New Roman" w:cs="Times New Roman" w:eastAsia="Times New Roman" w:hAnsi="Times New Roman"/>
          <w:sz w:val="16"/>
          <w:szCs w:val="16"/>
          <w:color w:val="auto"/>
        </w:rPr>
      </w:pPr>
    </w:p>
    <w:p>
      <w:pPr>
        <w:ind w:left="13" w:right="20" w:hanging="13"/>
        <w:spacing w:after="0" w:line="247" w:lineRule="auto"/>
        <w:tabs>
          <w:tab w:leader="none" w:pos="95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The federal and state courts sitting within the State of New York shall be the sole and exclusive forums for any and all disputes, claims, or causes of action arising from or relating to the enforcement, performance or interpretation of this Policy. The Covered Executives, their beneficiaries, heirs, executors, administrators and any other legal representative and the Company, shall not commence any suit, action or other proceeding arising out of or based upon this Agreement except in a federal and state court sitting within the State of New York,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13"/>
          </w:cols>
          <w:pgMar w:left="987" w:top="860" w:right="999" w:bottom="1440" w:gutter="0" w:footer="0" w:header="0"/>
        </w:sectPr>
      </w:pPr>
    </w:p>
    <w:bookmarkStart w:id="251" w:name="page252"/>
    <w:bookmarkEnd w:id="251"/>
    <w:p>
      <w:pPr>
        <w:ind w:left="13" w:right="80" w:hanging="8"/>
        <w:spacing w:after="0" w:line="302" w:lineRule="auto"/>
        <w:rPr>
          <w:sz w:val="20"/>
          <w:szCs w:val="20"/>
          <w:color w:val="auto"/>
        </w:rPr>
      </w:pPr>
      <w:r>
        <w:rPr>
          <w:rFonts w:ascii="Times New Roman" w:cs="Times New Roman" w:eastAsia="Times New Roman" w:hAnsi="Times New Roman"/>
          <w:sz w:val="16"/>
          <w:szCs w:val="16"/>
          <w:color w:val="auto"/>
        </w:rPr>
        <w:t>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spacing w:after="0" w:line="93" w:lineRule="exact"/>
        <w:rPr>
          <w:sz w:val="20"/>
          <w:szCs w:val="20"/>
          <w:color w:val="auto"/>
        </w:rPr>
      </w:pPr>
    </w:p>
    <w:p>
      <w:pPr>
        <w:ind w:left="13" w:hanging="13"/>
        <w:spacing w:after="0" w:line="257" w:lineRule="auto"/>
        <w:tabs>
          <w:tab w:leader="none" w:pos="64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39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29348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sectPr>
      <w:pgSz w:w="11900" w:h="16838" w:orient="portrait"/>
      <w:cols w:equalWidth="0" w:num="1">
        <w:col w:w="9893"/>
      </w:cols>
      <w:pgMar w:left="987" w:top="86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lowerRoman"/>
      <w:start w:val="3"/>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lowerRoman"/>
      <w:start w:val="3"/>
    </w:lvl>
  </w:abstractNum>
  <w:abstractNum w:abstractNumId="49">
    <w:nsid w:val="7DE67713"/>
    <w:multiLevelType w:val="hybridMultilevel"/>
    <w:lvl w:ilvl="0">
      <w:lvlJc w:val="left"/>
      <w:lvlText w:val="(%1)"/>
      <w:numFmt w:val="lowerRoman"/>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1)"/>
      <w:numFmt w:val="decimal"/>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1)"/>
      <w:numFmt w:val="lowerRoman"/>
      <w:start w:val="2"/>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1)"/>
      <w:numFmt w:val="lowerLetter"/>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lowerRoman"/>
      <w:start w:val="3"/>
    </w:lvl>
  </w:abstractNum>
  <w:abstractNum w:abstractNumId="72">
    <w:nsid w:val="5C10FE21"/>
    <w:multiLevelType w:val="hybridMultilevel"/>
    <w:lvl w:ilvl="0">
      <w:lvlJc w:val="left"/>
      <w:lvlText w:val="(%1)"/>
      <w:numFmt w:val="decimal"/>
      <w:start w:val="1"/>
    </w:lvl>
  </w:abstractNum>
  <w:abstractNum w:abstractNumId="73">
    <w:nsid w:val="E7FFA2B"/>
    <w:multiLevelType w:val="hybridMultilevel"/>
    <w:lvl w:ilvl="0">
      <w:lvlJc w:val="left"/>
      <w:lvlText w:val="*"/>
      <w:numFmt w:val="bullet"/>
      <w:start w:val="1"/>
    </w:lvl>
    <w:lvl w:ilvl="1">
      <w:lvlJc w:val="left"/>
      <w:lvlText w:val="%2"/>
      <w:numFmt w:val="decimal"/>
      <w:start w:val="104"/>
    </w:lvl>
  </w:abstractNum>
  <w:abstractNum w:abstractNumId="74">
    <w:nsid w:val="3C5991AA"/>
    <w:multiLevelType w:val="hybridMultilevel"/>
    <w:lvl w:ilvl="0">
      <w:lvlJc w:val="left"/>
      <w:lvlText w:val="**"/>
      <w:numFmt w:val="bullet"/>
      <w:start w:val="1"/>
    </w:lvl>
    <w:lvl w:ilvl="1">
      <w:lvlJc w:val="left"/>
      <w:lvlText w:val="%2"/>
      <w:numFmt w:val="decimal"/>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decimal"/>
      <w:start w:val="1"/>
    </w:lvl>
    <w:lvl w:ilvl="1">
      <w:lvlJc w:val="left"/>
      <w:lvlText w:val="(%2)"/>
      <w:numFmt w:val="lowerLetter"/>
      <w:start w:val="2"/>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decimal"/>
      <w:start w:val="2"/>
    </w:lvl>
    <w:lvl w:ilvl="1">
      <w:lvlJc w:val="left"/>
      <w:lvlText w:val="(%2)"/>
      <w:numFmt w:val="lowerLetter"/>
      <w:start w:val="1"/>
    </w:lvl>
  </w:abstractNum>
  <w:abstractNum w:abstractNumId="81">
    <w:nsid w:val="69E373"/>
    <w:multiLevelType w:val="hybridMultilevel"/>
    <w:lvl w:ilvl="0">
      <w:lvlJc w:val="left"/>
      <w:lvlText w:val="(%1)"/>
      <w:numFmt w:val="lowerLetter"/>
      <w:start w:val="3"/>
    </w:lvl>
  </w:abstractNum>
  <w:abstractNum w:abstractNumId="82">
    <w:nsid w:val="2C27173B"/>
    <w:multiLevelType w:val="hybridMultilevel"/>
    <w:lvl w:ilvl="0">
      <w:lvlJc w:val="left"/>
      <w:lvlText w:val="%1."/>
      <w:numFmt w:val="decimal"/>
      <w:start w:val="2"/>
    </w:lvl>
    <w:lvl w:ilvl="1">
      <w:lvlJc w:val="left"/>
      <w:lvlText w:val="(%2)"/>
      <w:numFmt w:val="lowerLetter"/>
      <w:start w:val="6"/>
    </w:lvl>
  </w:abstractNum>
  <w:abstractNum w:abstractNumId="83">
    <w:nsid w:val="4C9B0904"/>
    <w:multiLevelType w:val="hybridMultilevel"/>
    <w:lvl w:ilvl="0">
      <w:lvlJc w:val="left"/>
      <w:lvlText w:val="(%1)"/>
      <w:numFmt w:val="lowerLetter"/>
      <w:start w:val="10"/>
    </w:lvl>
  </w:abstractNum>
  <w:abstractNum w:abstractNumId="84">
    <w:nsid w:val="6AA7B75C"/>
    <w:multiLevelType w:val="hybridMultilevel"/>
    <w:lvl w:ilvl="0">
      <w:lvlJc w:val="left"/>
      <w:lvlText w:val="%1."/>
      <w:numFmt w:val="decimal"/>
      <w:start w:val="2"/>
    </w:lvl>
    <w:lvl w:ilvl="1">
      <w:lvlJc w:val="left"/>
      <w:lvlText w:val="(%2)"/>
      <w:numFmt w:val="lowerLetter"/>
      <w:start w:val="18"/>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decimal"/>
      <w:start w:val="2"/>
    </w:lvl>
    <w:lvl w:ilvl="1">
      <w:lvlJc w:val="left"/>
      <w:lvlText w:val="(%2)"/>
      <w:numFmt w:val="lowerLetter"/>
      <w:start w:val="18"/>
    </w:lvl>
  </w:abstractNum>
  <w:abstractNum w:abstractNumId="87">
    <w:nsid w:val="3DD15094"/>
    <w:multiLevelType w:val="hybridMultilevel"/>
    <w:lvl w:ilvl="0">
      <w:lvlJc w:val="left"/>
      <w:lvlText w:val="(%1)"/>
      <w:numFmt w:val="lowerLetter"/>
      <w:start w:val="18"/>
    </w:lvl>
  </w:abstractNum>
  <w:abstractNum w:abstractNumId="88">
    <w:nsid w:val="3DB012B3"/>
    <w:multiLevelType w:val="hybridMultilevel"/>
    <w:lvl w:ilvl="0">
      <w:lvlJc w:val="left"/>
      <w:lvlText w:val="%1."/>
      <w:numFmt w:val="decimal"/>
      <w:start w:val="2"/>
    </w:lvl>
    <w:lvl w:ilvl="1">
      <w:lvlJc w:val="left"/>
      <w:lvlText w:val="(%2)"/>
      <w:numFmt w:val="lowerLetter"/>
      <w:start w:val="23"/>
    </w:lvl>
  </w:abstractNum>
  <w:abstractNum w:abstractNumId="89">
    <w:nsid w:val="2708C9AF"/>
    <w:multiLevelType w:val="hybridMultilevel"/>
    <w:lvl w:ilvl="0">
      <w:lvlJc w:val="left"/>
      <w:lvlText w:val="%1."/>
      <w:numFmt w:val="decimal"/>
      <w:start w:val="2"/>
    </w:lvl>
    <w:lvl w:ilvl="1">
      <w:lvlJc w:val="left"/>
      <w:lvlText w:val="(%2)"/>
      <w:numFmt w:val="lowerRoman"/>
      <w:start w:val="10"/>
    </w:lvl>
  </w:abstractNum>
  <w:abstractNum w:abstractNumId="90">
    <w:nsid w:val="5B25ACE2"/>
    <w:multiLevelType w:val="hybridMultilevel"/>
    <w:lvl w:ilvl="0">
      <w:lvlJc w:val="left"/>
      <w:lvlText w:val="%1."/>
      <w:numFmt w:val="decimal"/>
      <w:start w:val="2"/>
    </w:lvl>
    <w:lvl w:ilvl="1">
      <w:lvlJc w:val="left"/>
      <w:lvlText w:val="(%2)"/>
      <w:numFmt w:val="lowerLetter"/>
      <w:start w:val="27"/>
    </w:lvl>
  </w:abstractNum>
  <w:abstractNum w:abstractNumId="91">
    <w:nsid w:val="175DFCF0"/>
    <w:multiLevelType w:val="hybridMultilevel"/>
    <w:lvl w:ilvl="0">
      <w:lvlJc w:val="left"/>
      <w:lvlText w:val="%1."/>
      <w:numFmt w:val="decimal"/>
      <w:start w:val="2"/>
    </w:lvl>
    <w:lvl w:ilvl="1">
      <w:lvlJc w:val="left"/>
      <w:lvlText w:val="(%2)"/>
      <w:numFmt w:val="lowerLetter"/>
      <w:start w:val="32"/>
    </w:lvl>
  </w:abstractNum>
  <w:abstractNum w:abstractNumId="92">
    <w:nsid w:val="4F97E3E4"/>
    <w:multiLevelType w:val="hybridMultilevel"/>
    <w:lvl w:ilvl="0">
      <w:lvlJc w:val="left"/>
      <w:lvlText w:val="%1."/>
      <w:numFmt w:val="decimal"/>
      <w:start w:val="3"/>
    </w:lvl>
    <w:lvl w:ilvl="1">
      <w:lvlJc w:val="left"/>
      <w:lvlText w:val="(%2)"/>
      <w:numFmt w:val="lowerLetter"/>
      <w:start w:val="1"/>
    </w:lvl>
  </w:abstractNum>
  <w:abstractNum w:abstractNumId="93">
    <w:nsid w:val="53B0A9E"/>
    <w:multiLevelType w:val="hybridMultilevel"/>
    <w:lvl w:ilvl="0">
      <w:lvlJc w:val="left"/>
      <w:lvlText w:val="(%1)"/>
      <w:numFmt w:val="lowerRoman"/>
      <w:start w:val="1"/>
    </w:lvl>
  </w:abstractNum>
  <w:abstractNum w:abstractNumId="94">
    <w:nsid w:val="34FD6B4F"/>
    <w:multiLevelType w:val="hybridMultilevel"/>
    <w:lvl w:ilvl="0">
      <w:lvlJc w:val="left"/>
      <w:lvlText w:val="(%1)"/>
      <w:numFmt w:val="lowerRoman"/>
      <w:start w:val="2"/>
    </w:lvl>
  </w:abstractNum>
  <w:abstractNum w:abstractNumId="95">
    <w:nsid w:val="5915FF32"/>
    <w:multiLevelType w:val="hybridMultilevel"/>
    <w:lvl w:ilvl="0">
      <w:lvlJc w:val="left"/>
      <w:lvlText w:val="\ldblquote"/>
      <w:numFmt w:val="bullet"/>
      <w:start w:val="1"/>
    </w:lvl>
  </w:abstractNum>
  <w:abstractNum w:abstractNumId="96">
    <w:nsid w:val="56438D15"/>
    <w:multiLevelType w:val="hybridMultilevel"/>
    <w:lvl w:ilvl="0">
      <w:lvlJc w:val="left"/>
      <w:lvlText w:val="%1"/>
      <w:numFmt w:val="decimal"/>
      <w:start w:val="1"/>
    </w:lvl>
    <w:lvl w:ilvl="1">
      <w:lvlJc w:val="left"/>
      <w:lvlText w:val="(%2)"/>
      <w:numFmt w:val="decimal"/>
      <w:start w:val="1"/>
    </w:lvl>
  </w:abstractNum>
  <w:abstractNum w:abstractNumId="97">
    <w:nsid w:val="519E3149"/>
    <w:multiLevelType w:val="hybridMultilevel"/>
    <w:lvl w:ilvl="0">
      <w:lvlJc w:val="left"/>
      <w:lvlText w:val="%1."/>
      <w:numFmt w:val="decimal"/>
      <w:start w:val="9"/>
    </w:lvl>
    <w:lvl w:ilvl="1">
      <w:lvlJc w:val="left"/>
      <w:lvlText w:val="%2"/>
      <w:numFmt w:val="decimal"/>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lowerLetter"/>
      <w:start w:val="2"/>
    </w:lvl>
  </w:abstractNum>
  <w:abstractNum w:abstractNumId="100">
    <w:nsid w:val="4DF72E4E"/>
    <w:multiLevelType w:val="hybridMultilevel"/>
    <w:lvl w:ilvl="0">
      <w:lvlJc w:val="left"/>
      <w:lvlText w:val="(%1)"/>
      <w:numFmt w:val="lowerLetter"/>
      <w:start w:val="3"/>
    </w:lvl>
  </w:abstractNum>
  <w:abstractNum w:abstractNumId="101">
    <w:nsid w:val="5046B5A9"/>
    <w:multiLevelType w:val="hybridMultilevel"/>
    <w:lvl w:ilvl="0">
      <w:lvlJc w:val="left"/>
      <w:lvlText w:val="%1."/>
      <w:numFmt w:val="decimal"/>
      <w:start w:val="11"/>
    </w:lvl>
  </w:abstractNum>
  <w:abstractNum w:abstractNumId="102">
    <w:nsid w:val="5D888A08"/>
    <w:multiLevelType w:val="hybridMultilevel"/>
    <w:lvl w:ilvl="0">
      <w:lvlJc w:val="left"/>
      <w:lvlText w:val="%1."/>
      <w:numFmt w:val="decimal"/>
      <w:start w:val="12"/>
    </w:lvl>
  </w:abstractNum>
  <w:abstractNum w:abstractNumId="103">
    <w:nsid w:val="2A082C70"/>
    <w:multiLevelType w:val="hybridMultilevel"/>
    <w:lvl w:ilvl="0">
      <w:lvlJc w:val="left"/>
      <w:lvlText w:val="%1."/>
      <w:numFmt w:val="decimal"/>
      <w:start w:val="12"/>
    </w:lvl>
  </w:abstractNum>
  <w:abstractNum w:abstractNumId="104">
    <w:nsid w:val="5EC6AFD4"/>
    <w:multiLevelType w:val="hybridMultilevel"/>
    <w:lvl w:ilvl="0">
      <w:lvlJc w:val="left"/>
      <w:lvlText w:val="%1."/>
      <w:numFmt w:val="decimal"/>
      <w:start w:val="14"/>
    </w:lvl>
  </w:abstractNum>
  <w:abstractNum w:abstractNumId="105">
    <w:nsid w:val="19E21BB2"/>
    <w:multiLevelType w:val="hybridMultilevel"/>
    <w:lvl w:ilvl="0">
      <w:lvlJc w:val="left"/>
      <w:lvlText w:val="%1."/>
      <w:numFmt w:val="decimal"/>
      <w:start w:val="14"/>
    </w:lvl>
  </w:abstractNum>
  <w:abstractNum w:abstractNumId="106">
    <w:nsid w:val="75E0858A"/>
    <w:multiLevelType w:val="hybridMultilevel"/>
    <w:lvl w:ilvl="0">
      <w:lvlJc w:val="left"/>
      <w:lvlText w:val="%1."/>
      <w:numFmt w:val="decimal"/>
      <w:start w:val="15"/>
    </w:lvl>
  </w:abstractNum>
  <w:abstractNum w:abstractNumId="107">
    <w:nsid w:val="57A61A29"/>
    <w:multiLevelType w:val="hybridMultilevel"/>
    <w:lvl w:ilvl="0">
      <w:lvlJc w:val="left"/>
      <w:lvlText w:val="%1."/>
      <w:numFmt w:val="decimal"/>
      <w:start w:val="15"/>
    </w:lvl>
  </w:abstractNum>
  <w:abstractNum w:abstractNumId="108">
    <w:nsid w:val="5399C654"/>
    <w:multiLevelType w:val="hybridMultilevel"/>
    <w:lvl w:ilvl="0">
      <w:lvlJc w:val="left"/>
      <w:lvlText w:val="%1."/>
      <w:numFmt w:val="decimal"/>
      <w:start w:val="15"/>
    </w:lvl>
  </w:abstractNum>
  <w:abstractNum w:abstractNumId="109">
    <w:nsid w:val="20EE1348"/>
    <w:multiLevelType w:val="hybridMultilevel"/>
    <w:lvl w:ilvl="0">
      <w:lvlJc w:val="left"/>
      <w:lvlText w:val="%1."/>
      <w:numFmt w:val="decimal"/>
      <w:start w:val="16"/>
    </w:lvl>
  </w:abstractNum>
  <w:abstractNum w:abstractNumId="110">
    <w:nsid w:val="4427069A"/>
    <w:multiLevelType w:val="hybridMultilevel"/>
    <w:lvl w:ilvl="0">
      <w:lvlJc w:val="left"/>
      <w:lvlText w:val="%1."/>
      <w:numFmt w:val="decimal"/>
      <w:start w:val="16"/>
    </w:lvl>
  </w:abstractNum>
  <w:abstractNum w:abstractNumId="111">
    <w:nsid w:val="B37E80A"/>
    <w:multiLevelType w:val="hybridMultilevel"/>
    <w:lvl w:ilvl="0">
      <w:lvlJc w:val="left"/>
      <w:lvlText w:val="%1."/>
      <w:numFmt w:val="decimal"/>
      <w:start w:val="16"/>
    </w:lvl>
  </w:abstractNum>
  <w:abstractNum w:abstractNumId="112">
    <w:nsid w:val="2157F6BC"/>
    <w:multiLevelType w:val="hybridMultilevel"/>
    <w:lvl w:ilvl="0">
      <w:lvlJc w:val="left"/>
      <w:lvlText w:val="%1."/>
      <w:numFmt w:val="decimal"/>
      <w:start w:val="16"/>
    </w:lvl>
  </w:abstractNum>
  <w:abstractNum w:abstractNumId="113">
    <w:nsid w:val="704E1DD5"/>
    <w:multiLevelType w:val="hybridMultilevel"/>
    <w:lvl w:ilvl="0">
      <w:lvlJc w:val="left"/>
      <w:lvlText w:val="%1."/>
      <w:numFmt w:val="decimal"/>
      <w:start w:val="17"/>
    </w:lvl>
  </w:abstractNum>
  <w:abstractNum w:abstractNumId="114">
    <w:nsid w:val="57D2F10E"/>
    <w:multiLevelType w:val="hybridMultilevel"/>
    <w:lvl w:ilvl="0">
      <w:lvlJc w:val="left"/>
      <w:lvlText w:val="%1."/>
      <w:numFmt w:val="decimal"/>
      <w:start w:val="18"/>
    </w:lvl>
  </w:abstractNum>
  <w:abstractNum w:abstractNumId="115">
    <w:nsid w:val="BFFAE18"/>
    <w:multiLevelType w:val="hybridMultilevel"/>
    <w:lvl w:ilvl="0">
      <w:lvlJc w:val="left"/>
      <w:lvlText w:val="%1."/>
      <w:numFmt w:val="decimal"/>
      <w:start w:val="18"/>
    </w:lvl>
  </w:abstractNum>
  <w:abstractNum w:abstractNumId="116">
    <w:nsid w:val="E3E47A8"/>
    <w:multiLevelType w:val="hybridMultilevel"/>
    <w:lvl w:ilvl="0">
      <w:lvlJc w:val="left"/>
      <w:lvlText w:val="%1."/>
      <w:numFmt w:val="decimal"/>
      <w:start w:val="19"/>
    </w:lvl>
  </w:abstractNum>
  <w:abstractNum w:abstractNumId="117">
    <w:nsid w:val="2E48F044"/>
    <w:multiLevelType w:val="hybridMultilevel"/>
    <w:lvl w:ilvl="0">
      <w:lvlJc w:val="left"/>
      <w:lvlText w:val="%1."/>
      <w:numFmt w:val="decimal"/>
      <w:start w:val="19"/>
    </w:lvl>
    <w:lvl w:ilvl="1">
      <w:lvlJc w:val="left"/>
      <w:lvlText w:val="(%2)"/>
      <w:numFmt w:val="lowerLetter"/>
      <w:start w:val="1"/>
    </w:lvl>
  </w:abstractNum>
  <w:abstractNum w:abstractNumId="118">
    <w:nsid w:val="49D0FEAC"/>
    <w:multiLevelType w:val="hybridMultilevel"/>
    <w:lvl w:ilvl="0">
      <w:lvlJc w:val="left"/>
      <w:lvlText w:val="%1."/>
      <w:numFmt w:val="decimal"/>
      <w:start w:val="20"/>
    </w:lvl>
    <w:lvl w:ilvl="1">
      <w:lvlJc w:val="left"/>
      <w:lvlText w:val="(%2)"/>
      <w:numFmt w:val="lowerLetter"/>
      <w:start w:val="2"/>
    </w:lvl>
  </w:abstractNum>
  <w:abstractNum w:abstractNumId="119">
    <w:nsid w:val="4BEE5A5B"/>
    <w:multiLevelType w:val="hybridMultilevel"/>
    <w:lvl w:ilvl="0">
      <w:lvlJc w:val="left"/>
      <w:lvlText w:val="%1."/>
      <w:numFmt w:val="decimal"/>
      <w:start w:val="20"/>
    </w:lvl>
    <w:lvl w:ilvl="1">
      <w:lvlJc w:val="left"/>
      <w:lvlText w:val="(%2)"/>
      <w:numFmt w:val="lowerLetter"/>
      <w:start w:val="2"/>
    </w:lvl>
  </w:abstractNum>
  <w:abstractNum w:abstractNumId="120">
    <w:nsid w:val="5551B9F3"/>
    <w:multiLevelType w:val="hybridMultilevel"/>
    <w:lvl w:ilvl="0">
      <w:lvlJc w:val="left"/>
      <w:lvlText w:val="%1."/>
      <w:numFmt w:val="decimal"/>
      <w:start w:val="20"/>
    </w:lvl>
    <w:lvl w:ilvl="1">
      <w:lvlJc w:val="left"/>
      <w:lvlText w:val="(%2)"/>
      <w:numFmt w:val="lowerLetter"/>
      <w:start w:val="2"/>
    </w:lvl>
  </w:abstractNum>
  <w:abstractNum w:abstractNumId="121">
    <w:nsid w:val="24F6AB8E"/>
    <w:multiLevelType w:val="hybridMultilevel"/>
    <w:lvl w:ilvl="0">
      <w:lvlJc w:val="left"/>
      <w:lvlText w:val="%1."/>
      <w:numFmt w:val="decimal"/>
      <w:start w:val="21"/>
    </w:lvl>
  </w:abstractNum>
  <w:abstractNum w:abstractNumId="122">
    <w:nsid w:val="634C574C"/>
    <w:multiLevelType w:val="hybridMultilevel"/>
    <w:lvl w:ilvl="0">
      <w:lvlJc w:val="left"/>
      <w:lvlText w:val="%1."/>
      <w:numFmt w:val="decimal"/>
      <w:start w:val="21"/>
    </w:lvl>
  </w:abstractNum>
  <w:abstractNum w:abstractNumId="123">
    <w:nsid w:val="24E99DD7"/>
    <w:multiLevelType w:val="hybridMultilevel"/>
    <w:lvl w:ilvl="0">
      <w:lvlJc w:val="left"/>
      <w:lvlText w:val="%1."/>
      <w:numFmt w:val="decimal"/>
      <w:start w:val="21"/>
    </w:lvl>
  </w:abstractNum>
  <w:abstractNum w:abstractNumId="124">
    <w:nsid w:val="2A31B62D"/>
    <w:multiLevelType w:val="hybridMultilevel"/>
    <w:lvl w:ilvl="0">
      <w:lvlJc w:val="left"/>
      <w:lvlText w:val="%1."/>
      <w:numFmt w:val="decimal"/>
      <w:start w:val="21"/>
    </w:lvl>
  </w:abstractNum>
  <w:abstractNum w:abstractNumId="125">
    <w:nsid w:val="1849C29B"/>
    <w:multiLevelType w:val="hybridMultilevel"/>
    <w:lvl w:ilvl="0">
      <w:lvlJc w:val="left"/>
      <w:lvlText w:val="%1."/>
      <w:numFmt w:val="decimal"/>
      <w:start w:val="22"/>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1"/>
    </w:lvl>
  </w:abstractNum>
  <w:abstractNum w:abstractNumId="129">
    <w:nsid w:val="2A6DE806"/>
    <w:multiLevelType w:val="hybridMultilevel"/>
    <w:lvl w:ilvl="0">
      <w:lvlJc w:val="left"/>
      <w:lvlText w:val="2"/>
      <w:numFmt w:val="bullet"/>
      <w:start w:val="1"/>
    </w:lvl>
  </w:abstractNum>
  <w:abstractNum w:abstractNumId="130">
    <w:nsid w:val="1816F8C4"/>
    <w:multiLevelType w:val="hybridMultilevel"/>
    <w:lvl w:ilvl="0">
      <w:lvlJc w:val="left"/>
      <w:lvlText w:val="3"/>
      <w:numFmt w:val="bullet"/>
      <w:start w:val="1"/>
    </w:lvl>
  </w:abstractNum>
  <w:abstractNum w:abstractNumId="131">
    <w:nsid w:val="37DF2233"/>
    <w:multiLevelType w:val="hybridMultilevel"/>
    <w:lvl w:ilvl="0">
      <w:lvlJc w:val="left"/>
      <w:lvlText w:val="4"/>
      <w:numFmt w:val="bullet"/>
      <w:start w:val="1"/>
    </w:lvl>
  </w:abstractNum>
  <w:abstractNum w:abstractNumId="132">
    <w:nsid w:val="7AB49DAF"/>
    <w:multiLevelType w:val="hybridMultilevel"/>
    <w:lvl w:ilvl="0">
      <w:lvlJc w:val="left"/>
      <w:lvlText w:val="5"/>
      <w:numFmt w:val="bullet"/>
      <w:start w:val="1"/>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6"/>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1."/>
      <w:numFmt w:val="decimal"/>
      <w:start w:val="1"/>
    </w:lvl>
    <w:lvl w:ilvl="1">
      <w:lvlJc w:val="left"/>
      <w:lvlText w:val="(%2)"/>
      <w:numFmt w:val="lowerLetter"/>
      <w:start w:val="1"/>
    </w:lvl>
  </w:abstractNum>
  <w:abstractNum w:abstractNumId="137">
    <w:nsid w:val="57C7D42D"/>
    <w:multiLevelType w:val="hybridMultilevel"/>
    <w:lvl w:ilvl="0">
      <w:lvlJc w:val="left"/>
      <w:lvlText w:val="%1."/>
      <w:numFmt w:val="decimal"/>
      <w:start w:val="1"/>
    </w:lvl>
    <w:lvl w:ilvl="1">
      <w:lvlJc w:val="left"/>
      <w:lvlText w:val="(%2)"/>
      <w:numFmt w:val="lowerLetter"/>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1"/>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lowerLetter"/>
      <w:start w:val="1"/>
    </w:lvl>
  </w:abstractNum>
  <w:abstractNum w:abstractNumId="142">
    <w:nsid w:val="6E534CDE"/>
    <w:multiLevelType w:val="hybridMultilevel"/>
    <w:lvl w:ilvl="0">
      <w:lvlJc w:val="left"/>
      <w:lvlText w:val="(%1)"/>
      <w:numFmt w:val="lowerRoman"/>
      <w:start w:val="1"/>
    </w:lvl>
  </w:abstractNum>
  <w:abstractNum w:abstractNumId="143">
    <w:nsid w:val="1A0DDE32"/>
    <w:multiLevelType w:val="hybridMultilevel"/>
    <w:lvl w:ilvl="0">
      <w:lvlJc w:val="left"/>
      <w:lvlText w:val="(%1)"/>
      <w:numFmt w:val="lowerLetter"/>
      <w:start w:val="3"/>
    </w:lvl>
  </w:abstractNum>
  <w:abstractNum w:abstractNumId="144">
    <w:nsid w:val="65968C1C"/>
    <w:multiLevelType w:val="hybridMultilevel"/>
    <w:lvl w:ilvl="0">
      <w:lvlJc w:val="left"/>
      <w:lvlText w:val="(%1)"/>
      <w:numFmt w:val="lowerRoman"/>
      <w:start w:val="2"/>
    </w:lvl>
  </w:abstractNum>
  <w:abstractNum w:abstractNumId="145">
    <w:nsid w:val="46263DEC"/>
    <w:multiLevelType w:val="hybridMultilevel"/>
    <w:lvl w:ilvl="0">
      <w:lvlJc w:val="left"/>
      <w:lvlText w:val="(%1)"/>
      <w:numFmt w:val="lowerLetter"/>
      <w:start w:val="9"/>
    </w:lvl>
  </w:abstractNum>
  <w:abstractNum w:abstractNumId="146">
    <w:nsid w:val="260D8C4A"/>
    <w:multiLevelType w:val="hybridMultilevel"/>
    <w:lvl w:ilvl="0">
      <w:lvlJc w:val="left"/>
      <w:lvlText w:val="(%1)"/>
      <w:numFmt w:val="lowerLetter"/>
      <w:start w:val="1"/>
    </w:lvl>
  </w:abstractNum>
  <w:abstractNum w:abstractNumId="147">
    <w:nsid w:val="73D4D3C4"/>
    <w:multiLevelType w:val="hybridMultilevel"/>
    <w:lvl w:ilvl="0">
      <w:lvlJc w:val="left"/>
      <w:lvlText w:val="(%1)"/>
      <w:numFmt w:val="lowerLetter"/>
      <w:start w:val="2"/>
    </w:lvl>
  </w:abstractNum>
  <w:abstractNum w:abstractNumId="148">
    <w:nsid w:val="746F2E30"/>
    <w:multiLevelType w:val="hybridMultilevel"/>
    <w:lvl w:ilvl="0">
      <w:lvlJc w:val="left"/>
      <w:lvlText w:val="(%1)"/>
      <w:numFmt w:val="lowerRoman"/>
      <w:start w:val="1"/>
    </w:lvl>
  </w:abstractNum>
  <w:abstractNum w:abstractNumId="149">
    <w:nsid w:val="6FDE8AF6"/>
    <w:multiLevelType w:val="hybridMultilevel"/>
    <w:lvl w:ilvl="0">
      <w:lvlJc w:val="left"/>
      <w:lvlText w:val="(%1)"/>
      <w:numFmt w:val="lowerLetter"/>
      <w:start w:val="5"/>
    </w:lvl>
  </w:abstractNum>
  <w:abstractNum w:abstractNumId="150">
    <w:nsid w:val="3FC32E20"/>
    <w:multiLevelType w:val="hybridMultilevel"/>
    <w:lvl w:ilvl="0">
      <w:lvlJc w:val="left"/>
      <w:lvlText w:val="%1."/>
      <w:numFmt w:val="decimal"/>
      <w:start w:val="3"/>
    </w:lvl>
  </w:abstractNum>
  <w:abstractNum w:abstractNumId="151">
    <w:nsid w:val="49C0E823"/>
    <w:multiLevelType w:val="hybridMultilevel"/>
    <w:lvl w:ilvl="0">
      <w:lvlJc w:val="left"/>
      <w:lvlText w:val="%1."/>
      <w:numFmt w:val="decimal"/>
      <w:start w:val="5"/>
    </w:lvl>
  </w:abstractNum>
  <w:abstractNum w:abstractNumId="152">
    <w:nsid w:val="14D53685"/>
    <w:multiLevelType w:val="hybridMultilevel"/>
    <w:lvl w:ilvl="0">
      <w:lvlJc w:val="left"/>
      <w:lvlText w:val="(%1)"/>
      <w:numFmt w:val="lowerLetter"/>
      <w:start w:val="1"/>
    </w:lvl>
  </w:abstractNum>
  <w:abstractNum w:abstractNumId="153">
    <w:nsid w:val="230F856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3"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jpe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jpeg"/><Relationship Id="rId231" Type="http://schemas.openxmlformats.org/officeDocument/2006/relationships/image" Target="media/image205.png"/><Relationship Id="rId232" Type="http://schemas.openxmlformats.org/officeDocument/2006/relationships/image" Target="media/image206.jpeg"/><Relationship Id="rId233" Type="http://schemas.openxmlformats.org/officeDocument/2006/relationships/image" Target="media/image207.jpe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jpeg"/><Relationship Id="rId310" Type="http://schemas.openxmlformats.org/officeDocument/2006/relationships/image" Target="media/image284.jpe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jpeg"/><Relationship Id="rId314" Type="http://schemas.openxmlformats.org/officeDocument/2006/relationships/image" Target="media/image288.jpeg"/><Relationship Id="rId315" Type="http://schemas.openxmlformats.org/officeDocument/2006/relationships/image" Target="media/image289.jpe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202" Type="http://schemas.openxmlformats.org/officeDocument/2006/relationships/hyperlink" Target="https://www.sec.gov/Archives/edgar/data/1767582/000110465922045671/lk-20211231xex1d1.htm" TargetMode="External"/><Relationship Id="rId203" Type="http://schemas.openxmlformats.org/officeDocument/2006/relationships/hyperlink" Target="https://www.sec.gov/Archives/edgar/data/1767582/000104746919002872/a2238583zex-4_3.htm" TargetMode="External"/><Relationship Id="rId204" Type="http://schemas.openxmlformats.org/officeDocument/2006/relationships/hyperlink" Target="https://www.sec.gov/Archives/edgar/data/1767582/000104746919002872/a2238583zex-4_2.htm" TargetMode="External"/><Relationship Id="rId205" Type="http://schemas.openxmlformats.org/officeDocument/2006/relationships/hyperlink" Target="https://www.sec.gov/Archives/edgar/data/1767582/000110465921087180/a20-36633_1ex2d4.htm" TargetMode="External"/><Relationship Id="rId206" Type="http://schemas.openxmlformats.org/officeDocument/2006/relationships/hyperlink" Target="https://www.sec.gov/Archives/edgar/data/1767582/000104746919002450/a2238391zex-10_1.htm" TargetMode="External"/><Relationship Id="rId207" Type="http://schemas.openxmlformats.org/officeDocument/2006/relationships/hyperlink" Target="https://www.sec.gov/Archives/edgar/data/1767582/000110465921006870/tm213764d1_ex99-1.htm" TargetMode="External"/><Relationship Id="rId208" Type="http://schemas.openxmlformats.org/officeDocument/2006/relationships/hyperlink" Target="https://www.sec.gov/Archives/edgar/data/1767582/000104746919002450/a2238391zex-10_2.htm" TargetMode="External"/><Relationship Id="rId209" Type="http://schemas.openxmlformats.org/officeDocument/2006/relationships/hyperlink" Target="https://www.sec.gov/Archives/edgar/data/1767582/000104746919002450/a2238391zex-10_3.htm" TargetMode="External"/><Relationship Id="rId210" Type="http://schemas.openxmlformats.org/officeDocument/2006/relationships/hyperlink" Target="https://www.sec.gov/Archives/edgar/data/1767582/000104746919002450/a2238391zex-10_4.htm" TargetMode="External"/><Relationship Id="rId211" Type="http://schemas.openxmlformats.org/officeDocument/2006/relationships/hyperlink" Target="https://www.sec.gov/Archives/edgar/data/1767582/000104746919002450/a2238391zex-10_5.htm" TargetMode="External"/><Relationship Id="rId212" Type="http://schemas.openxmlformats.org/officeDocument/2006/relationships/hyperlink" Target="https://www.sec.gov/Archives/edgar/data/1767582/000104746919002450/a2238391zex-10_6.htm" TargetMode="External"/><Relationship Id="rId214" Type="http://schemas.openxmlformats.org/officeDocument/2006/relationships/hyperlink" Target="https://www.sec.gov/Archives/edgar/data/1767582/000104746919002450/a2238391zex-10_7.htm" TargetMode="External"/><Relationship Id="rId215" Type="http://schemas.openxmlformats.org/officeDocument/2006/relationships/hyperlink" Target="https://www.sec.gov/Archives/edgar/data/1767582/000104746919002450/a2238391zex-10_8.htm" TargetMode="External"/><Relationship Id="rId216" Type="http://schemas.openxmlformats.org/officeDocument/2006/relationships/hyperlink" Target="https://www.sec.gov/Archives/edgar/data/1767582/000104746919002450/a2238391zex-10_9.htm" TargetMode="External"/><Relationship Id="rId217" Type="http://schemas.openxmlformats.org/officeDocument/2006/relationships/hyperlink" Target="https://www.sec.gov/Archives/edgar/data/1767582/000110465921036669/a21-9706_1ex99d2.htm" TargetMode="External"/><Relationship Id="rId218" Type="http://schemas.openxmlformats.org/officeDocument/2006/relationships/hyperlink" Target="https://www.sec.gov/Archives/edgar/data/1767582/000110465922045671/lk-20211231xex4d20.htm" TargetMode="External"/><Relationship Id="rId219" Type="http://schemas.openxmlformats.org/officeDocument/2006/relationships/hyperlink" Target="https://www.sec.gov/Archives/edgar/data/1767582/000110465921087180/a20-36633_1ex4d20.htm" TargetMode="External"/><Relationship Id="rId220" Type="http://schemas.openxmlformats.org/officeDocument/2006/relationships/hyperlink" Target="https://www.sec.gov/Archives/edgar/data/1767582/000110465921126266/tm2129926d1_ex4-1.htm" TargetMode="External"/><Relationship Id="rId221" Type="http://schemas.openxmlformats.org/officeDocument/2006/relationships/hyperlink" Target="https://www.sec.gov/Archives/edgar/data/1767582/000110465923042448/lk-20221231xex1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2024-04-08T07:14:26Z</dcterms:created>
  <dcterms:modified xsi:type="dcterms:W3CDTF">2024-04-08T07:14:26Z</dcterms:modified>
</cp:coreProperties>
</file>