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107"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Li Hui (David)</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Luckin Coffee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LKNCY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07"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28TH FL, BUILDING T3, HAIXI JINGU PLAZA</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 TAIBEI ROAD, SIMING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XIAMEN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361008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07"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40" w:type="dxa"/>
            <w:vAlign w:val="bottom"/>
            <w:gridSpan w:val="2"/>
          </w:tcPr>
          <w:p>
            <w:pPr>
              <w:ind w:left="26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2"/>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4"/>
                <w:szCs w:val="14"/>
                <w:color w:val="auto"/>
              </w:rPr>
            </w:pPr>
          </w:p>
        </w:tc>
        <w:tc>
          <w:tcPr>
            <w:tcW w:w="13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20"/>
                <w:szCs w:val="20"/>
                <w:color w:val="0000FF"/>
                <w:w w:val="97"/>
              </w:rPr>
              <w:t>35,555,998</w:t>
            </w: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Camel ZQ Limited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20"/>
                <w:szCs w:val="20"/>
                <w:color w:val="0000FF"/>
                <w:w w:val="97"/>
              </w:rPr>
              <w:t>25,384,789</w:t>
            </w: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Centurium Capital II Ltd.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20"/>
                <w:szCs w:val="20"/>
                <w:color w:val="0000FF"/>
                <w:w w:val="79"/>
              </w:rPr>
              <w:t>5</w:t>
            </w: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Camel Zhengkai Limited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20"/>
                <w:szCs w:val="20"/>
                <w:color w:val="0000FF"/>
                <w:w w:val="97"/>
              </w:rPr>
              <w:t>32,313,906</w:t>
            </w: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CCM Prosper L.P.</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vMerge w:val="restart"/>
          </w:tcPr>
          <w:p>
            <w:pPr>
              <w:jc w:val="center"/>
              <w:ind w:left="649"/>
              <w:spacing w:after="0"/>
              <w:rPr>
                <w:sz w:val="20"/>
                <w:szCs w:val="20"/>
                <w:color w:val="auto"/>
              </w:rPr>
            </w:pPr>
            <w:r>
              <w:rPr>
                <w:rFonts w:ascii="Times New Roman" w:cs="Times New Roman" w:eastAsia="Times New Roman" w:hAnsi="Times New Roman"/>
                <w:sz w:val="20"/>
                <w:szCs w:val="20"/>
                <w:color w:val="0000FF"/>
                <w:w w:val="97"/>
              </w:rPr>
              <w:t>32,313,906</w:t>
            </w:r>
          </w:p>
        </w:tc>
        <w:tc>
          <w:tcPr>
            <w:tcW w:w="440" w:type="dxa"/>
            <w:vAlign w:val="bottom"/>
          </w:tcPr>
          <w:p>
            <w:pPr>
              <w:spacing w:after="0"/>
              <w:rPr>
                <w:sz w:val="24"/>
                <w:szCs w:val="24"/>
                <w:color w:val="auto"/>
              </w:rPr>
            </w:pPr>
          </w:p>
        </w:tc>
        <w:tc>
          <w:tcPr>
            <w:tcW w:w="82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Masterclass Holdings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gridSpan w:val="2"/>
            <w:vMerge w:val="continue"/>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20"/>
                <w:szCs w:val="20"/>
                <w:color w:val="0000FF"/>
                <w:w w:val="97"/>
              </w:rPr>
              <w:t>13,848,817</w:t>
            </w: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Tianyu Ruikong Limited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(4)</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left="669"/>
              <w:spacing w:after="0"/>
              <w:rPr>
                <w:sz w:val="20"/>
                <w:szCs w:val="20"/>
                <w:color w:val="auto"/>
              </w:rPr>
            </w:pPr>
            <w:r>
              <w:rPr>
                <w:rFonts w:ascii="Times New Roman" w:cs="Times New Roman" w:eastAsia="Times New Roman" w:hAnsi="Times New Roman"/>
                <w:sz w:val="20"/>
                <w:szCs w:val="20"/>
                <w:color w:val="0000FF"/>
                <w:w w:val="97"/>
              </w:rPr>
              <w:t>2,627,249</w:t>
            </w: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Camel ZQ Limited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(4)</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20"/>
                <w:szCs w:val="20"/>
                <w:color w:val="0000FF"/>
                <w:w w:val="98"/>
              </w:rPr>
              <w:t>544,346</w:t>
            </w: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Camel Zhengkai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40" w:type="dxa"/>
            <w:vAlign w:val="bottom"/>
            <w:tcBorders>
              <w:top w:val="single" w:sz="8" w:color="2C2C2C"/>
            </w:tcBorders>
          </w:tcPr>
          <w:p>
            <w:pPr>
              <w:spacing w:after="0"/>
              <w:rPr>
                <w:sz w:val="22"/>
                <w:szCs w:val="22"/>
                <w:color w:val="auto"/>
              </w:rPr>
            </w:pPr>
          </w:p>
        </w:tc>
        <w:tc>
          <w:tcPr>
            <w:tcW w:w="5400" w:type="dxa"/>
            <w:vAlign w:val="bottom"/>
            <w:tcBorders>
              <w:top w:val="single" w:sz="8" w:color="2C2C2C"/>
            </w:tcBorders>
            <w:gridSpan w:val="6"/>
          </w:tcPr>
          <w:p>
            <w:pPr>
              <w:ind w:left="4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400" w:type="dxa"/>
            <w:vAlign w:val="bottom"/>
            <w:gridSpan w:val="6"/>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96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9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6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9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 4)</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By Centurium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0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136,172,000</w:t>
            </w:r>
            <w:r>
              <w:rPr>
                <w:rFonts w:ascii="Times New Roman" w:cs="Times New Roman" w:eastAsia="Times New Roman" w:hAnsi="Times New Roman"/>
                <w:sz w:val="25"/>
                <w:szCs w:val="25"/>
                <w:color w:val="008000"/>
                <w:w w:val="93"/>
                <w:vertAlign w:val="superscript"/>
              </w:rPr>
              <w:t>(2)</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78"/>
              </w:rPr>
              <w:t>(2)</w:t>
            </w:r>
          </w:p>
        </w:tc>
        <w:tc>
          <w:tcPr>
            <w:tcW w:w="420" w:type="dxa"/>
            <w:vAlign w:val="bottom"/>
          </w:tcPr>
          <w:p>
            <w:pPr>
              <w:spacing w:after="0"/>
              <w:rPr>
                <w:sz w:val="10"/>
                <w:szCs w:val="10"/>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Investment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2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By Fortunate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center"/>
              <w:ind w:right="373"/>
              <w:spacing w:after="0" w:line="240" w:lineRule="exact"/>
              <w:rPr>
                <w:sz w:val="20"/>
                <w:szCs w:val="20"/>
                <w:color w:val="auto"/>
              </w:rPr>
            </w:pPr>
            <w:r>
              <w:rPr>
                <w:rFonts w:ascii="Times New Roman" w:cs="Times New Roman" w:eastAsia="Times New Roman" w:hAnsi="Times New Roman"/>
                <w:sz w:val="27"/>
                <w:szCs w:val="27"/>
                <w:color w:val="0000FF"/>
                <w:vertAlign w:val="subscript"/>
              </w:rPr>
              <w:t>4</w:t>
            </w:r>
            <w:r>
              <w:rPr>
                <w:rFonts w:ascii="Times New Roman" w:cs="Times New Roman" w:eastAsia="Times New Roman" w:hAnsi="Times New Roman"/>
                <w:sz w:val="11"/>
                <w:szCs w:val="11"/>
                <w:color w:val="008000"/>
              </w:rPr>
              <w:t>(2)</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78"/>
              </w:rPr>
              <w:t>(2)</w:t>
            </w:r>
          </w:p>
        </w:tc>
        <w:tc>
          <w:tcPr>
            <w:tcW w:w="420" w:type="dxa"/>
            <w:vAlign w:val="bottom"/>
          </w:tcPr>
          <w:p>
            <w:pPr>
              <w:spacing w:after="0"/>
              <w:rPr>
                <w:sz w:val="10"/>
                <w:szCs w:val="10"/>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Cup Holdings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4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Senior Convertible Preferred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By Centurium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158,158,519</w:t>
            </w:r>
            <w:r>
              <w:rPr>
                <w:rFonts w:ascii="Times New Roman" w:cs="Times New Roman" w:eastAsia="Times New Roman" w:hAnsi="Times New Roman"/>
                <w:sz w:val="25"/>
                <w:szCs w:val="25"/>
                <w:color w:val="008000"/>
                <w:w w:val="93"/>
                <w:vertAlign w:val="superscript"/>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78"/>
              </w:rPr>
              <w:t>(3)</w:t>
            </w:r>
          </w:p>
        </w:tc>
        <w:tc>
          <w:tcPr>
            <w:tcW w:w="420" w:type="dxa"/>
            <w:vAlign w:val="bottom"/>
          </w:tcPr>
          <w:p>
            <w:pPr>
              <w:spacing w:after="0"/>
              <w:rPr>
                <w:sz w:val="10"/>
                <w:szCs w:val="10"/>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Capital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2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2018,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Senior Convertible Preferred</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125,486,906</w:t>
            </w:r>
            <w:r>
              <w:rPr>
                <w:rFonts w:ascii="Times New Roman" w:cs="Times New Roman" w:eastAsia="Times New Roman" w:hAnsi="Times New Roman"/>
                <w:sz w:val="25"/>
                <w:szCs w:val="25"/>
                <w:color w:val="008000"/>
                <w:w w:val="93"/>
                <w:vertAlign w:val="superscript"/>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78"/>
              </w:rPr>
              <w:t>(3)</w:t>
            </w:r>
          </w:p>
        </w:tc>
        <w:tc>
          <w:tcPr>
            <w:tcW w:w="42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By CCM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2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Lucky,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Borders>
              <w:bottom w:val="single" w:sz="8" w:color="808080"/>
            </w:tcBorders>
            <w:vMerge w:val="continue"/>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vMerge w:val="continue"/>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10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623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62306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9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9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 4)</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7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0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0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900" w:type="dxa"/>
            <w:vAlign w:val="bottom"/>
          </w:tcPr>
          <w:p>
            <w:pPr>
              <w:ind w:left="7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060" w:type="dxa"/>
            <w:vAlign w:val="bottom"/>
            <w:vMerge w:val="continue"/>
          </w:tcPr>
          <w:p>
            <w:pPr>
              <w:spacing w:after="0"/>
              <w:rPr>
                <w:sz w:val="17"/>
                <w:szCs w:val="17"/>
                <w:color w:val="auto"/>
              </w:rPr>
            </w:pPr>
          </w:p>
        </w:tc>
        <w:tc>
          <w:tcPr>
            <w:tcW w:w="1900" w:type="dxa"/>
            <w:vAlign w:val="bottom"/>
          </w:tcPr>
          <w:p>
            <w:pPr>
              <w:ind w:left="7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0000FF"/>
              </w:rPr>
              <w:t>Senior Convertible Preferred</w:t>
            </w:r>
          </w:p>
        </w:tc>
        <w:tc>
          <w:tcPr>
            <w:tcW w:w="9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(3)</w:t>
            </w:r>
          </w:p>
        </w:tc>
        <w:tc>
          <w:tcPr>
            <w:tcW w:w="176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440" w:type="dxa"/>
            <w:vAlign w:val="bottom"/>
            <w:vMerge w:val="restart"/>
          </w:tcPr>
          <w:p>
            <w:pPr>
              <w:jc w:val="right"/>
              <w:ind w:right="182"/>
              <w:spacing w:after="0"/>
              <w:rPr>
                <w:sz w:val="20"/>
                <w:szCs w:val="20"/>
                <w:color w:val="auto"/>
              </w:rPr>
            </w:pPr>
            <w:r>
              <w:rPr>
                <w:rFonts w:ascii="Times New Roman" w:cs="Times New Roman" w:eastAsia="Times New Roman" w:hAnsi="Times New Roman"/>
                <w:sz w:val="20"/>
                <w:szCs w:val="20"/>
                <w:color w:val="0000FF"/>
              </w:rPr>
              <w:t>11,739,190</w:t>
            </w:r>
            <w:r>
              <w:rPr>
                <w:rFonts w:ascii="Times New Roman" w:cs="Times New Roman" w:eastAsia="Times New Roman" w:hAnsi="Times New Roman"/>
                <w:sz w:val="25"/>
                <w:szCs w:val="25"/>
                <w:color w:val="008000"/>
                <w:vertAlign w:val="superscript"/>
              </w:rPr>
              <w:t>(3)</w:t>
            </w:r>
          </w:p>
        </w:tc>
        <w:tc>
          <w:tcPr>
            <w:tcW w:w="84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0000FF"/>
                <w:w w:val="96"/>
              </w:rPr>
              <w:t>By CCM CB II,</w:t>
            </w:r>
          </w:p>
        </w:tc>
        <w:tc>
          <w:tcPr>
            <w:tcW w:w="0" w:type="dxa"/>
            <w:vAlign w:val="bottom"/>
          </w:tcPr>
          <w:p>
            <w:pPr>
              <w:spacing w:after="0"/>
              <w:rPr>
                <w:sz w:val="1"/>
                <w:szCs w:val="1"/>
                <w:color w:val="auto"/>
              </w:rPr>
            </w:pPr>
          </w:p>
        </w:tc>
      </w:tr>
      <w:tr>
        <w:trPr>
          <w:trHeight w:val="196"/>
        </w:trPr>
        <w:tc>
          <w:tcPr>
            <w:tcW w:w="26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Shares</w:t>
            </w:r>
          </w:p>
        </w:tc>
        <w:tc>
          <w:tcPr>
            <w:tcW w:w="9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76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7"/>
              </w:rPr>
              <w:t>Shares</w:t>
            </w:r>
          </w:p>
        </w:tc>
        <w:tc>
          <w:tcPr>
            <w:tcW w:w="14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45"/>
        </w:trPr>
        <w:tc>
          <w:tcPr>
            <w:tcW w:w="26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4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sole shareholder and director of Centurium Holdings (BVI) Ltd., which is the sole shareholder of Centurium Holdings Ltd. ("Centurium"). Centurium is the sole shareholder of Centurium Capital II Ltd. and Centurium Investment Limited. Centurium holds interests in the general partners of Centurium Capital Partners II, L.P. (which is the sole shareholder of Masterclass Holdings Limited), Centurium Capital Partners 2018, L.P. (which is the sole shareholder of Fortunate Cup Holdings Limited), CCM Lucky, L.P., CCM CB II, L.P. and CCM Prosper L.P.. The Reporting Person has sole voting and investment discretion with respect to Tianyu Ruikong Limited, and has all voting power in Camel ZQ Limited and Camel Zhengkai Limited through an entity ultimately controlled by him.</w:t>
      </w:r>
    </w:p>
    <w:p>
      <w:pPr>
        <w:spacing w:after="0" w:line="33" w:lineRule="exact"/>
        <w:rPr>
          <w:rFonts w:ascii="Times New Roman" w:cs="Times New Roman" w:eastAsia="Times New Roman" w:hAnsi="Times New Roman"/>
          <w:sz w:val="15"/>
          <w:szCs w:val="15"/>
          <w:color w:val="008000"/>
        </w:rPr>
      </w:pPr>
    </w:p>
    <w:p>
      <w:pPr>
        <w:ind w:left="20" w:right="40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B Ordinary Shares are convertible into the Issuer's Class A Ordinary Shares on a one-for-one basis at any time at the option of the Reporting Person. The Class B Ordinary Shares have no expiration date.</w:t>
      </w:r>
    </w:p>
    <w:p>
      <w:pPr>
        <w:spacing w:after="0" w:line="17" w:lineRule="exact"/>
        <w:rPr>
          <w:rFonts w:ascii="Times New Roman" w:cs="Times New Roman" w:eastAsia="Times New Roman" w:hAnsi="Times New Roman"/>
          <w:sz w:val="15"/>
          <w:szCs w:val="15"/>
          <w:color w:val="008000"/>
        </w:rPr>
      </w:pPr>
    </w:p>
    <w:p>
      <w:pPr>
        <w:ind w:left="20" w:right="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Senior Convertible Preferred Shares are convertible into that number of Issuer's Class A Ordinary Shares (or an equivalent number of ADSs), at any time at the option of the Reporting Person, determined by dividing (i) the sum of the original issue price plus any declared but unpaid dividends on such Senior Convertible Preferred Shares by (ii) the conversion price in effect at the time of the conversion, which was initially the original issue price of $0.8125, subject to adjustment from time to time.</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eight Class A Ordinary Shares. The ADSs have no expiration date.</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Hui Li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9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21156" TargetMode="External"/><Relationship Id="rId11" Type="http://schemas.openxmlformats.org/officeDocument/2006/relationships/hyperlink" Target="http://www.sec.gov/cgi-bin/browse-edgar?action=getcompany&amp;CIK=00017675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2026-03-18T15:35:49Z</dcterms:created>
  <dcterms:modified xsi:type="dcterms:W3CDTF">2026-03-18T15:35:49Z</dcterms:modified>
</cp:coreProperties>
</file>