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0001975631</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28thFloorBuildingT3,HaixiJinguPlaza1-3</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Taibei Road,Siming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Cha Yang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Independent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Level 27, 151 Queen</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1404900.00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Street Auckland CBD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2101799932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07/22/2024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3"/>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12/31/2021</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30738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12/31/2021 Cashless</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1060" w:type="dxa"/>
            <w:vAlign w:val="bottom"/>
            <w:vMerge w:val="continue"/>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Plans</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Class A</w:t>
            </w: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12/31/2022</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30738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12/31/2022 Cashless</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1060" w:type="dxa"/>
            <w:vAlign w:val="bottom"/>
            <w:vMerge w:val="continue"/>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Plans</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Class A</w:t>
            </w: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Shares (each</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12/31/2023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15447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12/31/2023 Cashless</w:t>
            </w:r>
          </w:p>
        </w:tc>
        <w:tc>
          <w:tcPr>
            <w:tcW w:w="0" w:type="dxa"/>
            <w:vAlign w:val="bottom"/>
          </w:tcPr>
          <w:p>
            <w:pPr>
              <w:spacing w:after="0"/>
              <w:rPr>
                <w:sz w:val="1"/>
                <w:szCs w:val="1"/>
                <w:color w:val="auto"/>
              </w:rPr>
            </w:pPr>
          </w:p>
        </w:tc>
      </w:tr>
      <w:tr>
        <w:trPr>
          <w:trHeight w:val="172"/>
        </w:trPr>
        <w:tc>
          <w:tcPr>
            <w:tcW w:w="14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060" w:type="dxa"/>
            <w:vAlign w:val="bottom"/>
          </w:tcPr>
          <w:p>
            <w:pPr>
              <w:spacing w:after="0"/>
              <w:rPr>
                <w:sz w:val="14"/>
                <w:szCs w:val="14"/>
                <w:color w:val="auto"/>
              </w:rPr>
            </w:pPr>
          </w:p>
        </w:tc>
        <w:tc>
          <w:tcPr>
            <w:tcW w:w="1560" w:type="dxa"/>
            <w:vAlign w:val="bottom"/>
          </w:tcPr>
          <w:p>
            <w:pPr>
              <w:ind w:left="20"/>
              <w:spacing w:after="0" w:line="172" w:lineRule="exact"/>
              <w:rPr>
                <w:sz w:val="20"/>
                <w:szCs w:val="20"/>
                <w:color w:val="auto"/>
              </w:rPr>
            </w:pPr>
            <w:r>
              <w:rPr>
                <w:rFonts w:ascii="Times New Roman" w:cs="Times New Roman" w:eastAsia="Times New Roman" w:hAnsi="Times New Roman"/>
                <w:sz w:val="19"/>
                <w:szCs w:val="19"/>
                <w:color w:val="auto"/>
              </w:rPr>
              <w:t>Plans</w:t>
            </w:r>
          </w:p>
        </w:tc>
        <w:tc>
          <w:tcPr>
            <w:tcW w:w="1560" w:type="dxa"/>
            <w:vAlign w:val="bottom"/>
          </w:tcPr>
          <w:p>
            <w:pPr>
              <w:ind w:left="160"/>
              <w:spacing w:after="0" w:line="172" w:lineRule="exact"/>
              <w:rPr>
                <w:sz w:val="20"/>
                <w:szCs w:val="20"/>
                <w:color w:val="auto"/>
              </w:rPr>
            </w:pPr>
            <w:r>
              <w:rPr>
                <w:rFonts w:ascii="Times New Roman" w:cs="Times New Roman" w:eastAsia="Times New Roman" w:hAnsi="Times New Roman"/>
                <w:sz w:val="19"/>
                <w:szCs w:val="19"/>
                <w:color w:val="auto"/>
              </w:rPr>
              <w:t>Inc.</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-2140585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-1180465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07/22/2024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Qing ZHANG, as duly authorized representative of Beijing Yixinxiangshang Technology Co Ltd as attorney 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fact for Yang CHA</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2024-07-22T05:28:36Z</dcterms:created>
  <dcterms:modified xsi:type="dcterms:W3CDTF">2024-07-22T05:28:36Z</dcterms:modified>
</cp:coreProperties>
</file>