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3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November 2025</w:t>
      </w:r>
    </w:p>
    <w:p>
      <w:pPr>
        <w:spacing w:after="0" w:line="225"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Commission File Number 001-38896</w:t>
      </w:r>
    </w:p>
    <w:p>
      <w:pPr>
        <w:spacing w:after="0" w:line="20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Luckin Coffee Inc.</w:t>
      </w:r>
    </w:p>
    <w:p>
      <w:pPr>
        <w:spacing w:after="0" w:line="4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28th Floor, Building T3, Haixi Jingu Plaza</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1-3 Taibei Road</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Siming District, Xiamen City, Fujian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People’s Republic of China, 361008</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+86-592-3386666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400"/>
        <w:spacing w:after="0" w:line="207" w:lineRule="exact"/>
        <w:tabs>
          <w:tab w:leader="none" w:pos="576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754"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57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Luckin Coffee Inc.</w:t>
            </w:r>
          </w:p>
        </w:tc>
      </w:tr>
      <w:tr>
        <w:trPr>
          <w:trHeight w:val="432"/>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November 17, 2025</w:t>
            </w:r>
          </w:p>
        </w:tc>
        <w:tc>
          <w:tcPr>
            <w:tcW w:w="57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By: /s/ Jing An</w:t>
            </w:r>
          </w:p>
        </w:tc>
      </w:tr>
      <w:tr>
        <w:trPr>
          <w:trHeight w:val="191"/>
        </w:trPr>
        <w:tc>
          <w:tcPr>
            <w:tcW w:w="580" w:type="dxa"/>
            <w:vAlign w:val="bottom"/>
          </w:tcPr>
          <w:p>
            <w:pPr>
              <w:spacing w:after="0"/>
              <w:rPr>
                <w:sz w:val="16"/>
                <w:szCs w:val="16"/>
                <w:color w:val="auto"/>
              </w:rPr>
            </w:pPr>
          </w:p>
        </w:tc>
        <w:tc>
          <w:tcPr>
            <w:tcW w:w="4940" w:type="dxa"/>
            <w:vAlign w:val="bottom"/>
            <w:tcBorders>
              <w:top w:val="single" w:sz="8" w:color="auto"/>
            </w:tcBorders>
          </w:tcPr>
          <w:p>
            <w:pPr>
              <w:spacing w:after="0"/>
              <w:rPr>
                <w:sz w:val="16"/>
                <w:szCs w:val="16"/>
                <w:color w:val="auto"/>
              </w:rPr>
            </w:pPr>
          </w:p>
        </w:tc>
        <w:tc>
          <w:tcPr>
            <w:tcW w:w="560" w:type="dxa"/>
            <w:vAlign w:val="bottom"/>
          </w:tcPr>
          <w:p>
            <w:pPr>
              <w:spacing w:after="0"/>
              <w:rPr>
                <w:sz w:val="16"/>
                <w:szCs w:val="16"/>
                <w:color w:val="auto"/>
              </w:rPr>
            </w:pPr>
          </w:p>
        </w:tc>
        <w:tc>
          <w:tcPr>
            <w:tcW w:w="51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Jing An</w:t>
            </w:r>
          </w:p>
        </w:tc>
      </w:tr>
      <w:tr>
        <w:trPr>
          <w:trHeight w:val="234"/>
        </w:trPr>
        <w:tc>
          <w:tcPr>
            <w:tcW w:w="58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Title:  Chief Financial Officer</w:t>
            </w:r>
          </w:p>
        </w:tc>
      </w:tr>
      <w:tr>
        <w:trPr>
          <w:trHeight w:val="648"/>
        </w:trPr>
        <w:tc>
          <w:tcPr>
            <w:tcW w:w="58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w:t>
            </w:r>
          </w:p>
        </w:tc>
        <w:tc>
          <w:tcPr>
            <w:tcW w:w="5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860" w:type="dxa"/>
            <w:vAlign w:val="bottom"/>
          </w:tcPr>
          <w:p>
            <w:pPr>
              <w:jc w:val="center"/>
              <w:ind w:right="229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2"/>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240" w:type="dxa"/>
            <w:vAlign w:val="bottom"/>
          </w:tcPr>
          <w:p>
            <w:pPr>
              <w:spacing w:after="0"/>
              <w:rPr>
                <w:sz w:val="24"/>
                <w:szCs w:val="24"/>
                <w:color w:val="auto"/>
              </w:rPr>
            </w:pPr>
          </w:p>
        </w:tc>
        <w:tc>
          <w:tcPr>
            <w:tcW w:w="8860" w:type="dxa"/>
            <w:vAlign w:val="bottom"/>
          </w:tcPr>
          <w:p>
            <w:pPr>
              <w:ind w:left="336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9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220" w:type="dxa"/>
            <w:vAlign w:val="bottom"/>
          </w:tcPr>
          <w:p>
            <w:pPr>
              <w:spacing w:after="0"/>
              <w:rPr>
                <w:sz w:val="24"/>
                <w:szCs w:val="24"/>
                <w:color w:val="auto"/>
              </w:rPr>
            </w:pPr>
          </w:p>
        </w:tc>
        <w:tc>
          <w:tcPr>
            <w:tcW w:w="101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EE"/>
              </w:rPr>
              <w:t>Earnings Release</w:t>
            </w:r>
          </w:p>
        </w:tc>
      </w:tr>
      <w:tr>
        <w:trPr>
          <w:trHeight w:val="669"/>
        </w:trPr>
        <w:tc>
          <w:tcPr>
            <w:tcW w:w="320" w:type="dxa"/>
            <w:vAlign w:val="bottom"/>
            <w:tcBorders>
              <w:top w:val="single" w:sz="8" w:color="0000EE"/>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top w:val="single" w:sz="8" w:color="0000EE"/>
              <w:bottom w:val="single" w:sz="8" w:color="auto"/>
            </w:tcBorders>
          </w:tcPr>
          <w:p>
            <w:pPr>
              <w:spacing w:after="0"/>
              <w:rPr>
                <w:sz w:val="24"/>
                <w:szCs w:val="24"/>
                <w:color w:val="auto"/>
              </w:rPr>
            </w:pPr>
          </w:p>
        </w:tc>
        <w:tc>
          <w:tcPr>
            <w:tcW w:w="8860" w:type="dxa"/>
            <w:vAlign w:val="bottom"/>
            <w:tcBorders>
              <w:bottom w:val="single" w:sz="8" w:color="auto"/>
            </w:tcBorders>
          </w:tcPr>
          <w:p>
            <w:pPr>
              <w:jc w:val="right"/>
              <w:ind w:right="5490"/>
              <w:spacing w:after="0"/>
              <w:rPr>
                <w:sz w:val="20"/>
                <w:szCs w:val="20"/>
                <w:color w:val="auto"/>
              </w:rPr>
            </w:pPr>
            <w:r>
              <w:rPr>
                <w:rFonts w:ascii="Times New Roman" w:cs="Times New Roman" w:eastAsia="Times New Roman" w:hAnsi="Times New Roman"/>
                <w:sz w:val="18"/>
                <w:szCs w:val="18"/>
                <w:color w:val="auto"/>
              </w:rPr>
              <w:t>3</w:t>
            </w:r>
          </w:p>
        </w:tc>
      </w:tr>
    </w:tbl>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3082290</wp:posOffset>
            </wp:positionH>
            <wp:positionV relativeFrom="paragraph">
              <wp:posOffset>156845</wp:posOffset>
            </wp:positionV>
            <wp:extent cx="985520" cy="1045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85520" cy="1045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Luckin Coffee Announces Third Quarter 2025 Financial Results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Net Revenues Increased by 50.2% Year-over-Year to RMB15.3 Billion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Average Monthly Transacting Customers Reached a Record High of 112.3 Million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3,008 Net New Store Openings; Ended Quarter with 29,214 Stores</w:t>
      </w:r>
    </w:p>
    <w:p>
      <w:pPr>
        <w:spacing w:after="0" w:line="22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BEIJING, November 17, 2025 (GLOBE NEWSWIRE) </w:t>
      </w:r>
      <w:r>
        <w:rPr>
          <w:rFonts w:ascii="Times New Roman" w:cs="Times New Roman" w:eastAsia="Times New Roman" w:hAnsi="Times New Roman"/>
          <w:sz w:val="18"/>
          <w:szCs w:val="18"/>
          <w:color w:val="auto"/>
        </w:rPr>
        <w:t>— Luckin Coffee Inc. (“Luckin Coffee” or the “Company”) (OTC: LKNCY) today announced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its unaudited financial results for the three months ended September 30,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 QUARTER 2025 HIGHLIGHTS</w:t>
      </w:r>
      <w:r>
        <w:rPr>
          <w:rFonts w:ascii="Times New Roman" w:cs="Times New Roman" w:eastAsia="Times New Roman" w:hAnsi="Times New Roman"/>
          <w:sz w:val="29"/>
          <w:szCs w:val="29"/>
          <w:b w:val="1"/>
          <w:bCs w:val="1"/>
          <w:color w:val="auto"/>
          <w:vertAlign w:val="superscript"/>
        </w:rPr>
        <w:t>1</w:t>
      </w:r>
    </w:p>
    <w:p>
      <w:pPr>
        <w:spacing w:after="0" w:line="135" w:lineRule="exact"/>
        <w:rPr>
          <w:sz w:val="20"/>
          <w:szCs w:val="20"/>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Total net revenues </w:t>
      </w:r>
      <w:r>
        <w:rPr>
          <w:rFonts w:ascii="Times New Roman" w:cs="Times New Roman" w:eastAsia="Times New Roman" w:hAnsi="Times New Roman"/>
          <w:sz w:val="18"/>
          <w:szCs w:val="18"/>
          <w:color w:val="auto"/>
        </w:rPr>
        <w:t>were RMB15,287.1 million (US$2,143.2 million), representing a 50.2% year-over-year increase.</w:t>
      </w:r>
    </w:p>
    <w:p>
      <w:pPr>
        <w:spacing w:after="0" w:line="225" w:lineRule="exact"/>
        <w:rPr>
          <w:rFonts w:ascii="Times New Roman" w:cs="Times New Roman" w:eastAsia="Times New Roman" w:hAnsi="Times New Roman"/>
          <w:sz w:val="18"/>
          <w:szCs w:val="18"/>
          <w:color w:val="auto"/>
        </w:rPr>
      </w:pPr>
    </w:p>
    <w:p>
      <w:pPr>
        <w:jc w:val="both"/>
        <w:ind w:left="340" w:right="20" w:hanging="332"/>
        <w:spacing w:after="0" w:line="268"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new store openings </w:t>
      </w:r>
      <w:r>
        <w:rPr>
          <w:rFonts w:ascii="Times New Roman" w:cs="Times New Roman" w:eastAsia="Times New Roman" w:hAnsi="Times New Roman"/>
          <w:sz w:val="18"/>
          <w:szCs w:val="18"/>
          <w:color w:val="auto"/>
        </w:rPr>
        <w:t>were 3,008, comprising 2,979 stores in China (including Hong Kong), 5 stores in Singapore, 21 stores in Malaysia and 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stores in the U.S. </w:t>
      </w:r>
      <w:r>
        <w:rPr>
          <w:rFonts w:ascii="Times New Roman" w:cs="Times New Roman" w:eastAsia="Times New Roman" w:hAnsi="Times New Roman"/>
          <w:sz w:val="18"/>
          <w:szCs w:val="18"/>
          <w:b w:val="1"/>
          <w:bCs w:val="1"/>
          <w:color w:val="auto"/>
        </w:rPr>
        <w:t>Total number of stores</w:t>
      </w:r>
      <w:r>
        <w:rPr>
          <w:rFonts w:ascii="Times New Roman" w:cs="Times New Roman" w:eastAsia="Times New Roman" w:hAnsi="Times New Roman"/>
          <w:sz w:val="18"/>
          <w:szCs w:val="18"/>
          <w:color w:val="auto"/>
        </w:rPr>
        <w:t xml:space="preserve"> increased to 29,214 at the third quarter end, comprising 18,882 self-operated stores and 10,332 partnership stores, which represented a store unit growth of 11.5% from the total store count as of the end of the second quarter of 2025.</w:t>
      </w:r>
    </w:p>
    <w:p>
      <w:pPr>
        <w:spacing w:after="0" w:line="170"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Average monthly transacting customers </w:t>
      </w:r>
      <w:r>
        <w:rPr>
          <w:rFonts w:ascii="Times New Roman" w:cs="Times New Roman" w:eastAsia="Times New Roman" w:hAnsi="Times New Roman"/>
          <w:sz w:val="18"/>
          <w:szCs w:val="18"/>
          <w:color w:val="auto"/>
        </w:rPr>
        <w:t>reached a record high of 112.3 million, representing a 40.6% year-over-year increase.</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Revenues from self-operated stores </w:t>
      </w:r>
      <w:r>
        <w:rPr>
          <w:rFonts w:ascii="Times New Roman" w:cs="Times New Roman" w:eastAsia="Times New Roman" w:hAnsi="Times New Roman"/>
          <w:sz w:val="18"/>
          <w:szCs w:val="18"/>
          <w:color w:val="auto"/>
        </w:rPr>
        <w:t>were RMB11,080.3 million (US$1,553.4 million), representing a 47.7% year-over-year increase.</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Same-store sales growth for self-operated stores </w:t>
      </w:r>
      <w:r>
        <w:rPr>
          <w:rFonts w:ascii="Times New Roman" w:cs="Times New Roman" w:eastAsia="Times New Roman" w:hAnsi="Times New Roman"/>
          <w:sz w:val="18"/>
          <w:szCs w:val="18"/>
          <w:color w:val="auto"/>
        </w:rPr>
        <w:t>was 14.4%, significantly improved from negative 13.1% in the same quarter of 2024.</w:t>
      </w:r>
    </w:p>
    <w:p>
      <w:pPr>
        <w:spacing w:after="0" w:line="225" w:lineRule="exact"/>
        <w:rPr>
          <w:rFonts w:ascii="Times New Roman" w:cs="Times New Roman" w:eastAsia="Times New Roman" w:hAnsi="Times New Roman"/>
          <w:sz w:val="18"/>
          <w:szCs w:val="18"/>
          <w:color w:val="auto"/>
        </w:rPr>
      </w:pPr>
    </w:p>
    <w:p>
      <w:pPr>
        <w:ind w:left="340" w:hanging="332"/>
        <w:spacing w:after="0" w:line="286"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Store level operating profit - self-operated stores </w:t>
      </w:r>
      <w:r>
        <w:rPr>
          <w:rFonts w:ascii="Times New Roman" w:cs="Times New Roman" w:eastAsia="Times New Roman" w:hAnsi="Times New Roman"/>
          <w:sz w:val="18"/>
          <w:szCs w:val="18"/>
          <w:color w:val="auto"/>
        </w:rPr>
        <w:t>was RMB1,941.2 million (US$272.1 million), representing a 10.2% year-over-year increase. Store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level operating margin was 17.5%, compared to 23.5% in the same quarter of 2024.</w:t>
      </w:r>
    </w:p>
    <w:p>
      <w:pPr>
        <w:spacing w:after="0" w:line="154"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Revenues from partnership stores </w:t>
      </w:r>
      <w:r>
        <w:rPr>
          <w:rFonts w:ascii="Times New Roman" w:cs="Times New Roman" w:eastAsia="Times New Roman" w:hAnsi="Times New Roman"/>
          <w:sz w:val="18"/>
          <w:szCs w:val="18"/>
          <w:color w:val="auto"/>
        </w:rPr>
        <w:t>were RMB3,798.9 million (US$532.6 million), representing a 62.3% year-over-year increase.</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2"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GAAP operating income </w:t>
      </w:r>
      <w:r>
        <w:rPr>
          <w:rFonts w:ascii="Times New Roman" w:cs="Times New Roman" w:eastAsia="Times New Roman" w:hAnsi="Times New Roman"/>
          <w:sz w:val="18"/>
          <w:szCs w:val="18"/>
          <w:color w:val="auto"/>
        </w:rPr>
        <w:t>was RMB1,776.6 million (US$249.1 million), representing a 12.9% year-over-year increase. GAAP operating margin was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11.6%, compared to 15.5% in the same quarter of 2024. </w:t>
      </w:r>
      <w:r>
        <w:rPr>
          <w:rFonts w:ascii="Times New Roman" w:cs="Times New Roman" w:eastAsia="Times New Roman" w:hAnsi="Times New Roman"/>
          <w:sz w:val="18"/>
          <w:szCs w:val="18"/>
          <w:b w:val="1"/>
          <w:bCs w:val="1"/>
          <w:color w:val="auto"/>
        </w:rPr>
        <w:t>Non-GAAP operating income,</w:t>
      </w:r>
      <w:r>
        <w:rPr>
          <w:rFonts w:ascii="Times New Roman" w:cs="Times New Roman" w:eastAsia="Times New Roman" w:hAnsi="Times New Roman"/>
          <w:sz w:val="18"/>
          <w:szCs w:val="18"/>
          <w:color w:val="auto"/>
        </w:rPr>
        <w:t xml:space="preserve"> which adjusts for share-based compensation expenses, was RMB1,925.7 million (US$270.0 million), representing a 15.2% year-over-year increase. Non-GAAP operating margin was 12.6%, compared to 16.4% in the same quarter of 2024.</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Dr. Jinyi Guo, Co-founder and CEO of Luckin Coffee, said, “Our scale-driven strategy continued to yield strong results. We sustained robust revenue growth momentum through the third quarter, alongside another double-digit increase in self-operated same-store sales. Our expanding store network has enhanced our fulfilment capabilities, enabling us to capture rising customer demand and achieve a major milestone of surpassing 100 million average monthly transacting customers for the first time. These achievements further reinforced our competitive edge and market leadership. Looking ahead, we remain committed to product innovation and brand equity enhancement. Our value propositions of high quality, affordability, and convenience form the cornerstone of our continued customer base expansion, which is a key driver of Luckin Coffee’s long-term sustainable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17830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35" w:lineRule="exact"/>
        <w:rPr>
          <w:sz w:val="20"/>
          <w:szCs w:val="20"/>
          <w:color w:val="auto"/>
        </w:rPr>
      </w:pPr>
    </w:p>
    <w:p>
      <w:pPr>
        <w:ind w:left="5580" w:right="3460" w:hanging="5572"/>
        <w:spacing w:after="0" w:line="623" w:lineRule="auto"/>
        <w:tabs>
          <w:tab w:leader="none" w:pos="129" w:val="left"/>
        </w:tabs>
        <w:numPr>
          <w:ilvl w:val="0"/>
          <w:numId w:val="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Please refer to the section “KEY DEFINITIONS” on Page 4 for detailed definitions on certain terms used.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THIRD QUARTER 2025 FINANCIAL RESULTS</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Total net revenues </w:t>
      </w:r>
      <w:r>
        <w:rPr>
          <w:rFonts w:ascii="Times New Roman" w:cs="Times New Roman" w:eastAsia="Times New Roman" w:hAnsi="Times New Roman"/>
          <w:sz w:val="18"/>
          <w:szCs w:val="18"/>
          <w:color w:val="auto"/>
        </w:rPr>
        <w:t>were RMB15,287.1 million (US$2,143.2 million), representing an increase of 50.2% from RMB10,180.8 million in the same quarter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2024. Net revenues growth was primarily driven by a 48.1% year-over-year increase in GMV, which reached RMB17.3 billion, as a result of an increase in the number of products sold resulting from growth in (i) the number of stores in operation as well as (ii) monthly transacting customers.</w:t>
      </w:r>
    </w:p>
    <w:p>
      <w:pPr>
        <w:spacing w:after="0" w:line="171" w:lineRule="exact"/>
        <w:rPr>
          <w:sz w:val="20"/>
          <w:szCs w:val="20"/>
          <w:color w:val="auto"/>
        </w:rPr>
      </w:pPr>
    </w:p>
    <w:p>
      <w:pPr>
        <w:ind w:left="340" w:hanging="332"/>
        <w:spacing w:after="0" w:line="286"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Revenues from product sales </w:t>
      </w:r>
      <w:r>
        <w:rPr>
          <w:rFonts w:ascii="Times New Roman" w:cs="Times New Roman" w:eastAsia="Times New Roman" w:hAnsi="Times New Roman"/>
          <w:sz w:val="18"/>
          <w:szCs w:val="18"/>
          <w:color w:val="auto"/>
        </w:rPr>
        <w:t>were RMB11,488.3 million (US$1,610.6 million), representing an increase of 46.5% from RMB7,839.5 million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same quarter of 2024.</w:t>
      </w:r>
    </w:p>
    <w:p>
      <w:pPr>
        <w:spacing w:after="0" w:line="158"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revenues from freshly brewed drinks increased to RMB10,632.9 million (US$1,490.7 million) from RMB7,210.8 million in the same quarter of 2024. This revenue stream accounted for 69.6% of total net revenues, compared to 70.8% in the same quarter of 2024.</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revenues from other products increased to RMB622.5 million (US$87.3 million) from RMB476.9 million in the same quarter of 2024. This revenue stream accounted for 4.1% of total net revenues, compared to 4.7% in the same quarter of 2024.</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revenues from others increased to RMB232.9 million (US$32.7 million) from RMB151.8 million in the same quarter of 2024. This revenue stream accounted for 1.4% of total net revenues, compared to 1.5% in the same quarter of 2024.</w:t>
      </w:r>
    </w:p>
    <w:p>
      <w:pPr>
        <w:spacing w:after="0" w:line="157" w:lineRule="exact"/>
        <w:rPr>
          <w:rFonts w:ascii="Times New Roman" w:cs="Times New Roman" w:eastAsia="Times New Roman" w:hAnsi="Times New Roman"/>
          <w:sz w:val="18"/>
          <w:szCs w:val="18"/>
          <w:color w:val="auto"/>
        </w:rPr>
      </w:pPr>
    </w:p>
    <w:p>
      <w:pPr>
        <w:jc w:val="both"/>
        <w:ind w:left="340" w:hanging="332"/>
        <w:spacing w:after="0" w:line="259"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Revenues from partnership stores </w:t>
      </w:r>
      <w:r>
        <w:rPr>
          <w:rFonts w:ascii="Times New Roman" w:cs="Times New Roman" w:eastAsia="Times New Roman" w:hAnsi="Times New Roman"/>
          <w:sz w:val="18"/>
          <w:szCs w:val="18"/>
          <w:color w:val="auto"/>
        </w:rPr>
        <w:t>were RMB3,798.9 million (US$532.6 million), representing an increase of 62.3% from RMB2,341.3 million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same quarter of 2024. This revenue stream accounted for 24.9% of total net revenues, compared to 23.0% in the same quarter of 2024. Revenues from partnership stores included sales of materials of RMB2,023.5 million (US$283.7 million), delivery service fees of RMB866.5 million (US$121.5 million), profit sharing and royalty fee of RMB580.2 million (US$81.3 million), sales of equipment of RMB308.7 million (US$43.3 million), and franchise and other service fees of RMB19.9 million (US$2.8 million).</w:t>
      </w:r>
    </w:p>
    <w:p>
      <w:pPr>
        <w:spacing w:after="0" w:line="17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Total operating expenses </w:t>
      </w:r>
      <w:r>
        <w:rPr>
          <w:rFonts w:ascii="Times New Roman" w:cs="Times New Roman" w:eastAsia="Times New Roman" w:hAnsi="Times New Roman"/>
          <w:sz w:val="18"/>
          <w:szCs w:val="18"/>
          <w:color w:val="auto"/>
        </w:rPr>
        <w:t>were RMB13,510.6 million (US$1,894.1 million), representing an increase of 57.0% from RMB8,607.8 million in the same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quarter of 2024. The increase primarily resulted from the Company’s business expansion. Operating expenses as a percentage of net revenues was 88.4%, compared to 84.5% in the same quarter of 2024. The ratio increase was primarily attributable to the rise in delivery expenses as a percentage of net revenues due to the surge in third-quarter delivery orders, partially offset by the lower cost of materials and store-related expenses as percentages of net revenues thanks to the Company’s supply chain strength and refined operations.</w:t>
      </w:r>
    </w:p>
    <w:p>
      <w:pPr>
        <w:spacing w:after="0" w:line="179" w:lineRule="exact"/>
        <w:rPr>
          <w:sz w:val="20"/>
          <w:szCs w:val="20"/>
          <w:color w:val="auto"/>
        </w:rPr>
      </w:pPr>
    </w:p>
    <w:p>
      <w:pPr>
        <w:ind w:left="340" w:hanging="332"/>
        <w:spacing w:after="0" w:line="286"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Cost of materials </w:t>
      </w:r>
      <w:r>
        <w:rPr>
          <w:rFonts w:ascii="Times New Roman" w:cs="Times New Roman" w:eastAsia="Times New Roman" w:hAnsi="Times New Roman"/>
          <w:sz w:val="18"/>
          <w:szCs w:val="18"/>
          <w:color w:val="auto"/>
        </w:rPr>
        <w:t>were RMB5,539.9 million (US$776.7 million), representing an increase of 40.6% from RMB3,939.9 million in the same quarter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2024. The increase was mainly due to increases in (i) the number of products sold and (ii) sales of materials to partnership stores.</w:t>
      </w:r>
    </w:p>
    <w:p>
      <w:pPr>
        <w:spacing w:after="0" w:line="154" w:lineRule="exact"/>
        <w:rPr>
          <w:rFonts w:ascii="Times New Roman" w:cs="Times New Roman" w:eastAsia="Times New Roman" w:hAnsi="Times New Roman"/>
          <w:sz w:val="18"/>
          <w:szCs w:val="18"/>
          <w:color w:val="auto"/>
        </w:rPr>
      </w:pPr>
    </w:p>
    <w:p>
      <w:pPr>
        <w:jc w:val="both"/>
        <w:ind w:left="340" w:hanging="332"/>
        <w:spacing w:after="0" w:line="263"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Store rental and other operating costs </w:t>
      </w:r>
      <w:r>
        <w:rPr>
          <w:rFonts w:ascii="Times New Roman" w:cs="Times New Roman" w:eastAsia="Times New Roman" w:hAnsi="Times New Roman"/>
          <w:sz w:val="18"/>
          <w:szCs w:val="18"/>
          <w:color w:val="auto"/>
        </w:rPr>
        <w:t>were RMB3,097.1 million (US$434.2 million), representing an increase of 35.5% from RMB2,284.9 million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same quarter of 2024. The increase mainly resulted from the increased number of stores and items sold which led to year-over-year increases in</w:t>
      </w: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labor costs, (ii) store rental costs as well as (iii) utilities and other store operating costs.</w:t>
      </w:r>
    </w:p>
    <w:p>
      <w:pPr>
        <w:spacing w:after="0" w:line="202" w:lineRule="exact"/>
        <w:rPr>
          <w:rFonts w:ascii="Times New Roman" w:cs="Times New Roman" w:eastAsia="Times New Roman" w:hAnsi="Times New Roman"/>
          <w:sz w:val="18"/>
          <w:szCs w:val="18"/>
          <w:color w:val="auto"/>
        </w:rPr>
      </w:pPr>
    </w:p>
    <w:p>
      <w:pPr>
        <w:jc w:val="both"/>
        <w:ind w:left="340" w:hanging="332"/>
        <w:spacing w:after="0" w:line="268"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Depreciation and amortization expenses </w:t>
      </w:r>
      <w:r>
        <w:rPr>
          <w:rFonts w:ascii="Times New Roman" w:cs="Times New Roman" w:eastAsia="Times New Roman" w:hAnsi="Times New Roman"/>
          <w:sz w:val="18"/>
          <w:szCs w:val="18"/>
          <w:color w:val="auto"/>
        </w:rPr>
        <w:t>were RMB410.0 million (US$57.5 million), representing an increase of 32.4% from RMB309.7 million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same quarter of 2024. The increase was mainly due to increases in (i) amortization of leasehold improvements for the stores and (ii) depreciation expenses of additional equipment put into use in new stores.</w:t>
      </w:r>
    </w:p>
    <w:p>
      <w:pPr>
        <w:spacing w:after="0" w:line="170" w:lineRule="exact"/>
        <w:rPr>
          <w:rFonts w:ascii="Times New Roman" w:cs="Times New Roman" w:eastAsia="Times New Roman" w:hAnsi="Times New Roman"/>
          <w:sz w:val="18"/>
          <w:szCs w:val="18"/>
          <w:color w:val="auto"/>
        </w:rPr>
      </w:pPr>
    </w:p>
    <w:p>
      <w:pPr>
        <w:ind w:left="340" w:right="20" w:hanging="332"/>
        <w:spacing w:after="0" w:line="286"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Delivery expenses </w:t>
      </w:r>
      <w:r>
        <w:rPr>
          <w:rFonts w:ascii="Times New Roman" w:cs="Times New Roman" w:eastAsia="Times New Roman" w:hAnsi="Times New Roman"/>
          <w:sz w:val="18"/>
          <w:szCs w:val="18"/>
          <w:color w:val="auto"/>
        </w:rPr>
        <w:t>were RMB2,889.2 million (US$405.1 million), representing an increase of 211.4% from RMB927.7 million in the same quarter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2024. The significant increase was mainly driven by the surge in delivery volumes, especially from the third-party food delivery platforms.</w:t>
      </w:r>
    </w:p>
    <w:p>
      <w:pPr>
        <w:spacing w:after="0" w:line="154" w:lineRule="exact"/>
        <w:rPr>
          <w:rFonts w:ascii="Times New Roman" w:cs="Times New Roman" w:eastAsia="Times New Roman" w:hAnsi="Times New Roman"/>
          <w:sz w:val="18"/>
          <w:szCs w:val="18"/>
          <w:color w:val="auto"/>
        </w:rPr>
      </w:pPr>
    </w:p>
    <w:p>
      <w:pPr>
        <w:jc w:val="both"/>
        <w:ind w:left="340" w:hanging="332"/>
        <w:spacing w:after="0" w:line="262"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Sales and marketing expenses </w:t>
      </w:r>
      <w:r>
        <w:rPr>
          <w:rFonts w:ascii="Times New Roman" w:cs="Times New Roman" w:eastAsia="Times New Roman" w:hAnsi="Times New Roman"/>
          <w:sz w:val="18"/>
          <w:szCs w:val="18"/>
          <w:color w:val="auto"/>
        </w:rPr>
        <w:t>were RMB751.2 million (US$105.3 million), representing an increase of 27.5% from RMB589.0 million in the same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quarter of 2024. The increase was mainly driven by increases in commissions to the third-party food delivery and live streaming platforms, partially offset by the decrease of advertising and other promotion expenses. Sales and marketing expenses as a percentage of total net revenues was 4.9%, decreased from 5.8% in the same quarter of 2024.</w:t>
      </w:r>
    </w:p>
    <w:p>
      <w:pPr>
        <w:spacing w:after="0" w:line="176" w:lineRule="exact"/>
        <w:rPr>
          <w:rFonts w:ascii="Times New Roman" w:cs="Times New Roman" w:eastAsia="Times New Roman" w:hAnsi="Times New Roman"/>
          <w:sz w:val="18"/>
          <w:szCs w:val="18"/>
          <w:color w:val="auto"/>
        </w:rPr>
      </w:pPr>
    </w:p>
    <w:p>
      <w:pPr>
        <w:jc w:val="both"/>
        <w:ind w:left="340" w:hanging="332"/>
        <w:spacing w:after="0" w:line="262"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General and administrative expenses </w:t>
      </w:r>
      <w:r>
        <w:rPr>
          <w:rFonts w:ascii="Times New Roman" w:cs="Times New Roman" w:eastAsia="Times New Roman" w:hAnsi="Times New Roman"/>
          <w:sz w:val="18"/>
          <w:szCs w:val="18"/>
          <w:color w:val="auto"/>
        </w:rPr>
        <w:t>were RMB793.4 million (US$111.2 million), representing an increase of 24.6% from RMB636.6 million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same quarter of 2024. The increase was mainly driven by increases in (i) payroll costs for general and administrative staff, (ii) share-based compensation for management and employees, and (iii) research and development expenses. General and administrative expenses as a percentage of total net revenues was 5.2%, decreased from 6.3% in the same quarter of 2024.</w:t>
      </w:r>
    </w:p>
    <w:p>
      <w:pPr>
        <w:spacing w:after="0" w:line="176" w:lineRule="exact"/>
        <w:rPr>
          <w:rFonts w:ascii="Times New Roman" w:cs="Times New Roman" w:eastAsia="Times New Roman" w:hAnsi="Times New Roman"/>
          <w:sz w:val="18"/>
          <w:szCs w:val="18"/>
          <w:color w:val="auto"/>
        </w:rPr>
      </w:pPr>
    </w:p>
    <w:p>
      <w:pPr>
        <w:jc w:val="both"/>
        <w:ind w:left="340" w:hanging="332"/>
        <w:spacing w:after="0" w:line="268"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Store preopening and other expenses </w:t>
      </w:r>
      <w:r>
        <w:rPr>
          <w:rFonts w:ascii="Times New Roman" w:cs="Times New Roman" w:eastAsia="Times New Roman" w:hAnsi="Times New Roman"/>
          <w:sz w:val="18"/>
          <w:szCs w:val="18"/>
          <w:color w:val="auto"/>
        </w:rPr>
        <w:t>were RMB27.4 million (US$3.8 million), representing an increase of 103.7% from RMB13.5 million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same quarter of 2024, mainly due to more stores preparing to be opened compared to the same quarter of 2024. Store preopening and other expenses as a percentage of total net revenues was 0.2%, compared to 0.1% of total net revenues in the same quarter of 2024.</w:t>
      </w:r>
    </w:p>
    <w:p>
      <w:pPr>
        <w:spacing w:after="0" w:line="170" w:lineRule="exact"/>
        <w:rPr>
          <w:rFonts w:ascii="Times New Roman" w:cs="Times New Roman" w:eastAsia="Times New Roman" w:hAnsi="Times New Roman"/>
          <w:sz w:val="18"/>
          <w:szCs w:val="18"/>
          <w:color w:val="auto"/>
        </w:rPr>
      </w:pPr>
    </w:p>
    <w:p>
      <w:pPr>
        <w:ind w:left="340" w:hanging="332"/>
        <w:spacing w:after="0" w:line="286"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Losses and expenses related to Fabricated Transactions and Restructuring </w:t>
      </w:r>
      <w:r>
        <w:rPr>
          <w:rFonts w:ascii="Times New Roman" w:cs="Times New Roman" w:eastAsia="Times New Roman" w:hAnsi="Times New Roman"/>
          <w:sz w:val="18"/>
          <w:szCs w:val="18"/>
          <w:color w:val="auto"/>
        </w:rPr>
        <w:t>were RMB2.3 million (US$0.3 million), compared to negative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RMB102.5 million in the same quarter of 2024.</w:t>
      </w:r>
    </w:p>
    <w:p>
      <w:pPr>
        <w:spacing w:after="0" w:line="154"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Store level operating margin - self-operated stores </w:t>
      </w:r>
      <w:r>
        <w:rPr>
          <w:rFonts w:ascii="Times New Roman" w:cs="Times New Roman" w:eastAsia="Times New Roman" w:hAnsi="Times New Roman"/>
          <w:sz w:val="18"/>
          <w:szCs w:val="18"/>
          <w:color w:val="auto"/>
        </w:rPr>
        <w:t>was 17.5%, compared to 23.5% in the same quarter of 2024.</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GAAP operating income </w:t>
      </w:r>
      <w:r>
        <w:rPr>
          <w:rFonts w:ascii="Times New Roman" w:cs="Times New Roman" w:eastAsia="Times New Roman" w:hAnsi="Times New Roman"/>
          <w:sz w:val="18"/>
          <w:szCs w:val="18"/>
          <w:color w:val="auto"/>
        </w:rPr>
        <w:t>was RMB1,776.6 million (US$249.1 million), representing an increase of 12.9% from RMB1,573.0 million in the same quarter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of 2024. GAAP operating margin was 11.6%, compared to 15.5% in the same quarter of 2024. </w:t>
      </w:r>
      <w:r>
        <w:rPr>
          <w:rFonts w:ascii="Times New Roman" w:cs="Times New Roman" w:eastAsia="Times New Roman" w:hAnsi="Times New Roman"/>
          <w:sz w:val="18"/>
          <w:szCs w:val="18"/>
          <w:b w:val="1"/>
          <w:bCs w:val="1"/>
          <w:color w:val="auto"/>
        </w:rPr>
        <w:t>Non-GAAP operating income</w:t>
      </w:r>
      <w:r>
        <w:rPr>
          <w:rFonts w:ascii="Times New Roman" w:cs="Times New Roman" w:eastAsia="Times New Roman" w:hAnsi="Times New Roman"/>
          <w:sz w:val="18"/>
          <w:szCs w:val="18"/>
          <w:color w:val="auto"/>
        </w:rPr>
        <w:t xml:space="preserve"> was RMB1,925.7 million (US$270.0 million), representing an increase of 15.2% from RMB1,671.2 million in the same quarter of 2024. Non-GAAP operating margin was 12.6%, compared to 16.4% in the same quarter of 2024. For more information on the Company’s non-GAAP financial measures, please see the section “Use of Non-GAAP Financial Measures” and the table captioned “Reconciliation of Non-GAAP Measures to the Most Directly Comparable GAAP Measures” set forth at the end of this press release.</w:t>
      </w:r>
    </w:p>
    <w:p>
      <w:pPr>
        <w:spacing w:after="0" w:line="18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Income tax expenses </w:t>
      </w:r>
      <w:r>
        <w:rPr>
          <w:rFonts w:ascii="Times New Roman" w:cs="Times New Roman" w:eastAsia="Times New Roman" w:hAnsi="Times New Roman"/>
          <w:sz w:val="18"/>
          <w:szCs w:val="18"/>
          <w:color w:val="auto"/>
        </w:rPr>
        <w:t>were RMB560.1 million (US$78.5 million), compared to RMB356.6 million in the same quarter of 2024. The significant increase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was mainly due to the increased profits earned in this quarter.</w:t>
      </w:r>
    </w:p>
    <w:p>
      <w:pPr>
        <w:spacing w:after="0" w:line="1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Net income </w:t>
      </w:r>
      <w:r>
        <w:rPr>
          <w:rFonts w:ascii="Times New Roman" w:cs="Times New Roman" w:eastAsia="Times New Roman" w:hAnsi="Times New Roman"/>
          <w:sz w:val="18"/>
          <w:szCs w:val="18"/>
          <w:color w:val="auto"/>
        </w:rPr>
        <w:t>was RMB1,278.3 million (US$179.2 million), compared to RMB1,314.3 million in the same quarter of 2024. Net margin was 8.4%, compared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to 12.9% in the same quarter of 2024. </w:t>
      </w:r>
      <w:r>
        <w:rPr>
          <w:rFonts w:ascii="Times New Roman" w:cs="Times New Roman" w:eastAsia="Times New Roman" w:hAnsi="Times New Roman"/>
          <w:sz w:val="18"/>
          <w:szCs w:val="18"/>
          <w:b w:val="1"/>
          <w:bCs w:val="1"/>
          <w:color w:val="auto"/>
        </w:rPr>
        <w:t>Non-GAAP net income</w:t>
      </w:r>
      <w:r>
        <w:rPr>
          <w:rFonts w:ascii="Times New Roman" w:cs="Times New Roman" w:eastAsia="Times New Roman" w:hAnsi="Times New Roman"/>
          <w:sz w:val="18"/>
          <w:szCs w:val="18"/>
          <w:color w:val="auto"/>
        </w:rPr>
        <w:t xml:space="preserve"> was RMB1,421.4 million (US$199.3 million), compared to RMB1,412.5 million in the same quarter of 2024. Non-GAAP net margin was 9.3%, compared to 13.9% in the same quarter of 2024.</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Basic and diluted net income per ADS </w:t>
      </w:r>
      <w:r>
        <w:rPr>
          <w:rFonts w:ascii="Times New Roman" w:cs="Times New Roman" w:eastAsia="Times New Roman" w:hAnsi="Times New Roman"/>
          <w:sz w:val="18"/>
          <w:szCs w:val="18"/>
          <w:color w:val="auto"/>
        </w:rPr>
        <w:t>was RMB4.00 (US$0.56) and RMB3.92 (US$0.56), respectively, compared to RMB4.16 and RMB4.16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same quarter of 2024, respectively.</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Non-GAAP basic and diluted net income per ADS </w:t>
      </w:r>
      <w:r>
        <w:rPr>
          <w:rFonts w:ascii="Times New Roman" w:cs="Times New Roman" w:eastAsia="Times New Roman" w:hAnsi="Times New Roman"/>
          <w:sz w:val="18"/>
          <w:szCs w:val="18"/>
          <w:color w:val="auto"/>
        </w:rPr>
        <w:t>was RMB4.40 (US$0.64) and RMB4.40 (US$0.64), respectively, compared to RMB4.40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RMB4.40 in the same quarter of 2024, respectively.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Net cash provided by operating activities </w:t>
      </w:r>
      <w:r>
        <w:rPr>
          <w:rFonts w:ascii="Times New Roman" w:cs="Times New Roman" w:eastAsia="Times New Roman" w:hAnsi="Times New Roman"/>
          <w:sz w:val="18"/>
          <w:szCs w:val="18"/>
          <w:color w:val="auto"/>
        </w:rPr>
        <w:t>was RMB2,069.2 million (US$290.1 million), compared to RMB1,316.1 million in the same quarter of 2024.</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Cash and cash equivalents, restricted cash, term deposits and short-term investments </w:t>
      </w:r>
      <w:r>
        <w:rPr>
          <w:rFonts w:ascii="Times New Roman" w:cs="Times New Roman" w:eastAsia="Times New Roman" w:hAnsi="Times New Roman"/>
          <w:sz w:val="18"/>
          <w:szCs w:val="18"/>
          <w:color w:val="auto"/>
        </w:rPr>
        <w:t>were RMB9,347.8 million (US$1,310.5 million) as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September 30, 2025, compared to RMB5,934.2 million as of December 31, 2024.</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8"/>
        </w:trPr>
        <w:tc>
          <w:tcPr>
            <w:tcW w:w="4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KEY OPERATING DATA</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46"/>
        </w:trPr>
        <w:tc>
          <w:tcPr>
            <w:tcW w:w="428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6"/>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For the three months ended or as of</w:t>
            </w: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01"/>
        </w:trPr>
        <w:tc>
          <w:tcPr>
            <w:tcW w:w="4280" w:type="dxa"/>
            <w:vAlign w:val="bottom"/>
          </w:tcPr>
          <w:p>
            <w:pPr>
              <w:spacing w:after="0"/>
              <w:rPr>
                <w:sz w:val="17"/>
                <w:szCs w:val="17"/>
                <w:color w:val="auto"/>
              </w:rPr>
            </w:pPr>
          </w:p>
        </w:tc>
        <w:tc>
          <w:tcPr>
            <w:tcW w:w="1040" w:type="dxa"/>
            <w:vAlign w:val="bottom"/>
            <w:gridSpan w:val="2"/>
          </w:tcPr>
          <w:p>
            <w:pPr>
              <w:ind w:left="160"/>
              <w:spacing w:after="0" w:line="201" w:lineRule="exact"/>
              <w:rPr>
                <w:sz w:val="20"/>
                <w:szCs w:val="20"/>
                <w:color w:val="auto"/>
              </w:rPr>
            </w:pPr>
            <w:r>
              <w:rPr>
                <w:rFonts w:ascii="Times New Roman" w:cs="Times New Roman" w:eastAsia="Times New Roman" w:hAnsi="Times New Roman"/>
                <w:sz w:val="18"/>
                <w:szCs w:val="18"/>
                <w:b w:val="1"/>
                <w:bCs w:val="1"/>
                <w:color w:val="auto"/>
              </w:rPr>
              <w:t>Mar 31,</w:t>
            </w:r>
          </w:p>
        </w:tc>
        <w:tc>
          <w:tcPr>
            <w:tcW w:w="1020" w:type="dxa"/>
            <w:vAlign w:val="bottom"/>
            <w:gridSpan w:val="2"/>
          </w:tcPr>
          <w:p>
            <w:pPr>
              <w:ind w:left="160"/>
              <w:spacing w:after="0" w:line="201" w:lineRule="exact"/>
              <w:rPr>
                <w:sz w:val="20"/>
                <w:szCs w:val="20"/>
                <w:color w:val="auto"/>
              </w:rPr>
            </w:pPr>
            <w:r>
              <w:rPr>
                <w:rFonts w:ascii="Times New Roman" w:cs="Times New Roman" w:eastAsia="Times New Roman" w:hAnsi="Times New Roman"/>
                <w:sz w:val="18"/>
                <w:szCs w:val="18"/>
                <w:b w:val="1"/>
                <w:bCs w:val="1"/>
                <w:color w:val="auto"/>
              </w:rPr>
              <w:t>Jun 30,</w:t>
            </w:r>
          </w:p>
        </w:tc>
        <w:tc>
          <w:tcPr>
            <w:tcW w:w="1020" w:type="dxa"/>
            <w:vAlign w:val="bottom"/>
            <w:gridSpan w:val="2"/>
          </w:tcPr>
          <w:p>
            <w:pPr>
              <w:jc w:val="right"/>
              <w:ind w:right="300"/>
              <w:spacing w:after="0" w:line="201" w:lineRule="exact"/>
              <w:rPr>
                <w:sz w:val="20"/>
                <w:szCs w:val="20"/>
                <w:color w:val="auto"/>
              </w:rPr>
            </w:pPr>
            <w:r>
              <w:rPr>
                <w:rFonts w:ascii="Times New Roman" w:cs="Times New Roman" w:eastAsia="Times New Roman" w:hAnsi="Times New Roman"/>
                <w:sz w:val="18"/>
                <w:szCs w:val="18"/>
                <w:b w:val="1"/>
                <w:bCs w:val="1"/>
                <w:color w:val="auto"/>
              </w:rPr>
              <w:t>Sep 30,</w:t>
            </w:r>
          </w:p>
        </w:tc>
        <w:tc>
          <w:tcPr>
            <w:tcW w:w="1000" w:type="dxa"/>
            <w:vAlign w:val="bottom"/>
            <w:gridSpan w:val="2"/>
          </w:tcPr>
          <w:p>
            <w:pPr>
              <w:jc w:val="right"/>
              <w:ind w:right="280"/>
              <w:spacing w:after="0" w:line="201" w:lineRule="exact"/>
              <w:rPr>
                <w:sz w:val="20"/>
                <w:szCs w:val="20"/>
                <w:color w:val="auto"/>
              </w:rPr>
            </w:pPr>
            <w:r>
              <w:rPr>
                <w:rFonts w:ascii="Times New Roman" w:cs="Times New Roman" w:eastAsia="Times New Roman" w:hAnsi="Times New Roman"/>
                <w:sz w:val="18"/>
                <w:szCs w:val="18"/>
                <w:b w:val="1"/>
                <w:bCs w:val="1"/>
                <w:color w:val="auto"/>
              </w:rPr>
              <w:t>Dec 31,</w:t>
            </w:r>
          </w:p>
        </w:tc>
        <w:tc>
          <w:tcPr>
            <w:tcW w:w="980" w:type="dxa"/>
            <w:vAlign w:val="bottom"/>
            <w:gridSpan w:val="2"/>
          </w:tcPr>
          <w:p>
            <w:pPr>
              <w:jc w:val="right"/>
              <w:ind w:right="240"/>
              <w:spacing w:after="0" w:line="201" w:lineRule="exact"/>
              <w:rPr>
                <w:sz w:val="20"/>
                <w:szCs w:val="20"/>
                <w:color w:val="auto"/>
              </w:rPr>
            </w:pPr>
            <w:r>
              <w:rPr>
                <w:rFonts w:ascii="Times New Roman" w:cs="Times New Roman" w:eastAsia="Times New Roman" w:hAnsi="Times New Roman"/>
                <w:sz w:val="18"/>
                <w:szCs w:val="18"/>
                <w:b w:val="1"/>
                <w:bCs w:val="1"/>
                <w:color w:val="auto"/>
              </w:rPr>
              <w:t>Mar 31,</w:t>
            </w:r>
          </w:p>
        </w:tc>
        <w:tc>
          <w:tcPr>
            <w:tcW w:w="1000" w:type="dxa"/>
            <w:vAlign w:val="bottom"/>
            <w:gridSpan w:val="2"/>
          </w:tcPr>
          <w:p>
            <w:pPr>
              <w:jc w:val="right"/>
              <w:ind w:right="260"/>
              <w:spacing w:after="0" w:line="201" w:lineRule="exact"/>
              <w:rPr>
                <w:sz w:val="20"/>
                <w:szCs w:val="20"/>
                <w:color w:val="auto"/>
              </w:rPr>
            </w:pPr>
            <w:r>
              <w:rPr>
                <w:rFonts w:ascii="Times New Roman" w:cs="Times New Roman" w:eastAsia="Times New Roman" w:hAnsi="Times New Roman"/>
                <w:sz w:val="18"/>
                <w:szCs w:val="18"/>
                <w:b w:val="1"/>
                <w:bCs w:val="1"/>
                <w:color w:val="auto"/>
              </w:rPr>
              <w:t>Jun 30,</w:t>
            </w:r>
          </w:p>
        </w:tc>
        <w:tc>
          <w:tcPr>
            <w:tcW w:w="900" w:type="dxa"/>
            <w:vAlign w:val="bottom"/>
          </w:tcPr>
          <w:p>
            <w:pPr>
              <w:jc w:val="right"/>
              <w:ind w:right="90"/>
              <w:spacing w:after="0" w:line="201" w:lineRule="exact"/>
              <w:rPr>
                <w:sz w:val="20"/>
                <w:szCs w:val="20"/>
                <w:color w:val="auto"/>
              </w:rPr>
            </w:pPr>
            <w:r>
              <w:rPr>
                <w:rFonts w:ascii="Times New Roman" w:cs="Times New Roman" w:eastAsia="Times New Roman" w:hAnsi="Times New Roman"/>
                <w:sz w:val="18"/>
                <w:szCs w:val="18"/>
                <w:b w:val="1"/>
                <w:bCs w:val="1"/>
                <w:color w:val="auto"/>
              </w:rPr>
              <w:t>Sep 30,</w:t>
            </w:r>
          </w:p>
        </w:tc>
        <w:tc>
          <w:tcPr>
            <w:tcW w:w="20" w:type="dxa"/>
            <w:vAlign w:val="bottom"/>
          </w:tcPr>
          <w:p>
            <w:pPr>
              <w:spacing w:after="0"/>
              <w:rPr>
                <w:sz w:val="17"/>
                <w:szCs w:val="17"/>
                <w:color w:val="auto"/>
              </w:rPr>
            </w:pPr>
          </w:p>
        </w:tc>
      </w:tr>
      <w:tr>
        <w:trPr>
          <w:trHeight w:val="238"/>
        </w:trPr>
        <w:tc>
          <w:tcPr>
            <w:tcW w:w="428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20"/>
                <w:szCs w:val="20"/>
                <w:color w:val="auto"/>
              </w:rPr>
            </w:pPr>
          </w:p>
        </w:tc>
      </w:tr>
      <w:tr>
        <w:trPr>
          <w:trHeight w:val="209"/>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stores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18,590</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19,961</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21,343</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22,340</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24,097</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26,206</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29,214</w:t>
            </w:r>
          </w:p>
        </w:tc>
        <w:tc>
          <w:tcPr>
            <w:tcW w:w="20" w:type="dxa"/>
            <w:vAlign w:val="bottom"/>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Self-operated stores</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12,199</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13,056</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13,936</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14,591</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15,598</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16,968</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18,882</w:t>
            </w:r>
          </w:p>
        </w:tc>
        <w:tc>
          <w:tcPr>
            <w:tcW w:w="20" w:type="dxa"/>
            <w:vAlign w:val="bottom"/>
          </w:tcPr>
          <w:p>
            <w:pPr>
              <w:spacing w:after="0"/>
              <w:rPr>
                <w:sz w:val="18"/>
                <w:szCs w:val="18"/>
                <w:color w:val="auto"/>
              </w:rPr>
            </w:pP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Partnership stores</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6,391</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6,905</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7,407</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7,749</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8,499</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9,238</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10,332</w:t>
            </w:r>
          </w:p>
        </w:tc>
        <w:tc>
          <w:tcPr>
            <w:tcW w:w="20" w:type="dxa"/>
            <w:vAlign w:val="bottom"/>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Same-store sales growth for self-operated stores</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(20.3)%</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(20.9)%</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(13.1)%</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(3.4)%</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8.1%</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13.4%</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14.4%</w:t>
            </w:r>
          </w:p>
        </w:tc>
        <w:tc>
          <w:tcPr>
            <w:tcW w:w="20" w:type="dxa"/>
            <w:vAlign w:val="bottom"/>
          </w:tcPr>
          <w:p>
            <w:pPr>
              <w:spacing w:after="0"/>
              <w:rPr>
                <w:sz w:val="18"/>
                <w:szCs w:val="18"/>
                <w:color w:val="auto"/>
              </w:rPr>
            </w:pPr>
          </w:p>
        </w:tc>
      </w:tr>
      <w:tr>
        <w:trPr>
          <w:trHeight w:val="194"/>
        </w:trPr>
        <w:tc>
          <w:tcPr>
            <w:tcW w:w="42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Average monthly transacting customers (in</w:t>
            </w: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238"/>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thousands)</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59,914</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69,689</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79,846</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77,766</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74,272</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91,697</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112,295</w:t>
            </w:r>
          </w:p>
        </w:tc>
        <w:tc>
          <w:tcPr>
            <w:tcW w:w="20" w:type="dxa"/>
            <w:vAlign w:val="bottom"/>
          </w:tcPr>
          <w:p>
            <w:pPr>
              <w:spacing w:after="0"/>
              <w:rPr>
                <w:sz w:val="20"/>
                <w:szCs w:val="20"/>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DEFINITIONS</w:t>
      </w:r>
    </w:p>
    <w:p>
      <w:pPr>
        <w:spacing w:after="0" w:line="225" w:lineRule="exact"/>
        <w:rPr>
          <w:sz w:val="20"/>
          <w:szCs w:val="20"/>
          <w:color w:val="auto"/>
        </w:rPr>
      </w:pPr>
    </w:p>
    <w:p>
      <w:pPr>
        <w:ind w:left="340" w:right="20" w:hanging="332"/>
        <w:spacing w:after="0" w:line="286"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GMV </w:t>
      </w:r>
      <w:r>
        <w:rPr>
          <w:rFonts w:ascii="Times New Roman" w:cs="Times New Roman" w:eastAsia="Times New Roman" w:hAnsi="Times New Roman"/>
          <w:sz w:val="18"/>
          <w:szCs w:val="18"/>
          <w:color w:val="auto"/>
        </w:rPr>
        <w:t>(gross merchandise value) refers to the transaction amount from the sales of freshly brewed and non-freshly brewed items through self-operated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stores and partnership stores.</w:t>
      </w:r>
    </w:p>
    <w:p>
      <w:pPr>
        <w:spacing w:after="0" w:line="154"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Total net revenues </w:t>
      </w:r>
      <w:r>
        <w:rPr>
          <w:rFonts w:ascii="Times New Roman" w:cs="Times New Roman" w:eastAsia="Times New Roman" w:hAnsi="Times New Roman"/>
          <w:sz w:val="18"/>
          <w:szCs w:val="18"/>
          <w:color w:val="auto"/>
        </w:rPr>
        <w:t>include revenues from product sales and revenues from partnership stores.</w:t>
      </w:r>
    </w:p>
    <w:p>
      <w:pPr>
        <w:spacing w:after="0" w:line="225" w:lineRule="exact"/>
        <w:rPr>
          <w:rFonts w:ascii="Times New Roman" w:cs="Times New Roman" w:eastAsia="Times New Roman" w:hAnsi="Times New Roman"/>
          <w:sz w:val="18"/>
          <w:szCs w:val="18"/>
          <w:color w:val="auto"/>
        </w:rPr>
      </w:pPr>
    </w:p>
    <w:p>
      <w:pPr>
        <w:ind w:left="340" w:hanging="332"/>
        <w:spacing w:after="0" w:line="286"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Revenues from product sales </w:t>
      </w:r>
      <w:r>
        <w:rPr>
          <w:rFonts w:ascii="Times New Roman" w:cs="Times New Roman" w:eastAsia="Times New Roman" w:hAnsi="Times New Roman"/>
          <w:sz w:val="18"/>
          <w:szCs w:val="18"/>
          <w:color w:val="auto"/>
        </w:rPr>
        <w:t>mainly include net revenue from the sales of freshly brewed and non-freshly brewed items through self-operated stores,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e-commerce, offline sales and revenue from delivery for self-operated stores.</w:t>
      </w:r>
    </w:p>
    <w:p>
      <w:pPr>
        <w:spacing w:after="0" w:line="154" w:lineRule="exact"/>
        <w:rPr>
          <w:rFonts w:ascii="Times New Roman" w:cs="Times New Roman" w:eastAsia="Times New Roman" w:hAnsi="Times New Roman"/>
          <w:sz w:val="18"/>
          <w:szCs w:val="18"/>
          <w:color w:val="auto"/>
        </w:rPr>
      </w:pPr>
    </w:p>
    <w:p>
      <w:pPr>
        <w:ind w:left="340" w:hanging="332"/>
        <w:spacing w:after="0" w:line="286"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Revenues from self-operated stores </w:t>
      </w:r>
      <w:r>
        <w:rPr>
          <w:rFonts w:ascii="Times New Roman" w:cs="Times New Roman" w:eastAsia="Times New Roman" w:hAnsi="Times New Roman"/>
          <w:sz w:val="18"/>
          <w:szCs w:val="18"/>
          <w:color w:val="auto"/>
        </w:rPr>
        <w:t>include net revenue from the sales of freshly brewed and non-freshly brewed items through self-operated stores,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delivery fees derived from self-operated stores paid by the Company’s customers.</w:t>
      </w:r>
    </w:p>
    <w:p>
      <w:pPr>
        <w:spacing w:after="0" w:line="154" w:lineRule="exact"/>
        <w:rPr>
          <w:rFonts w:ascii="Times New Roman" w:cs="Times New Roman" w:eastAsia="Times New Roman" w:hAnsi="Times New Roman"/>
          <w:sz w:val="18"/>
          <w:szCs w:val="18"/>
          <w:color w:val="auto"/>
        </w:rPr>
      </w:pPr>
    </w:p>
    <w:p>
      <w:pPr>
        <w:ind w:left="340" w:hanging="332"/>
        <w:spacing w:after="0" w:line="286"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Revenues from partnership stores </w:t>
      </w:r>
      <w:r>
        <w:rPr>
          <w:rFonts w:ascii="Times New Roman" w:cs="Times New Roman" w:eastAsia="Times New Roman" w:hAnsi="Times New Roman"/>
          <w:sz w:val="18"/>
          <w:szCs w:val="18"/>
          <w:color w:val="auto"/>
        </w:rPr>
        <w:t>include net revenue from the sales of materials, equipment, delivery services, profit sharing and royalty fees,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franchise and other services from partnership stores.</w:t>
      </w:r>
    </w:p>
    <w:p>
      <w:pPr>
        <w:spacing w:after="0" w:line="154" w:lineRule="exact"/>
        <w:rPr>
          <w:rFonts w:ascii="Times New Roman" w:cs="Times New Roman" w:eastAsia="Times New Roman" w:hAnsi="Times New Roman"/>
          <w:sz w:val="18"/>
          <w:szCs w:val="18"/>
          <w:color w:val="auto"/>
        </w:rPr>
      </w:pPr>
    </w:p>
    <w:p>
      <w:pPr>
        <w:jc w:val="both"/>
        <w:ind w:left="340" w:hanging="332"/>
        <w:spacing w:after="0" w:line="268"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Same-store sales growth for self-operated stores. </w:t>
      </w:r>
      <w:r>
        <w:rPr>
          <w:rFonts w:ascii="Times New Roman" w:cs="Times New Roman" w:eastAsia="Times New Roman" w:hAnsi="Times New Roman"/>
          <w:sz w:val="18"/>
          <w:szCs w:val="18"/>
          <w:color w:val="auto"/>
        </w:rPr>
        <w:t>Defined as the growth rate of total revenue from self-operated stores that (i) were in operation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beginning of the comparable period and were not closed before the end of the current period and (ii) maintained an average of at least 15 operating days per month over both the current and comparable periods.</w:t>
      </w:r>
    </w:p>
    <w:p>
      <w:pPr>
        <w:spacing w:after="0" w:line="170" w:lineRule="exact"/>
        <w:rPr>
          <w:rFonts w:ascii="Times New Roman" w:cs="Times New Roman" w:eastAsia="Times New Roman" w:hAnsi="Times New Roman"/>
          <w:sz w:val="18"/>
          <w:szCs w:val="18"/>
          <w:color w:val="auto"/>
        </w:rPr>
      </w:pPr>
    </w:p>
    <w:p>
      <w:pPr>
        <w:jc w:val="both"/>
        <w:ind w:left="340" w:hanging="332"/>
        <w:spacing w:after="0" w:line="262"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Store level operating profit - self-operated stores. </w:t>
      </w:r>
      <w:r>
        <w:rPr>
          <w:rFonts w:ascii="Times New Roman" w:cs="Times New Roman" w:eastAsia="Times New Roman" w:hAnsi="Times New Roman"/>
          <w:sz w:val="18"/>
          <w:szCs w:val="18"/>
          <w:color w:val="auto"/>
        </w:rPr>
        <w:t>Calculated by deducting cost for self-operated stores including cost of direct materials (including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wastage in stores), cost of delivery packaging materials, storage and logistics expenses, commissions to third-party delivery platforms related to revenues from self-operated stores, store depreciation expense (including decoration loss for store closure), store rental and other operating costs, delivery expense, transaction fees, store preopening and other expenses from the Company’s self-operated store revenues.</w:t>
      </w:r>
    </w:p>
    <w:p>
      <w:pPr>
        <w:spacing w:after="0" w:line="176"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Store level operating margin - self-operated stores. </w:t>
      </w:r>
      <w:r>
        <w:rPr>
          <w:rFonts w:ascii="Times New Roman" w:cs="Times New Roman" w:eastAsia="Times New Roman" w:hAnsi="Times New Roman"/>
          <w:sz w:val="18"/>
          <w:szCs w:val="18"/>
          <w:color w:val="auto"/>
        </w:rPr>
        <w:t>Calculated by dividing store level operating profit by total revenues from self-operated stores.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Total number of stores</w:t>
      </w:r>
      <w:r>
        <w:rPr>
          <w:rFonts w:ascii="Times New Roman" w:cs="Times New Roman" w:eastAsia="Times New Roman" w:hAnsi="Times New Roman"/>
          <w:sz w:val="18"/>
          <w:szCs w:val="18"/>
          <w:color w:val="auto"/>
        </w:rPr>
        <w:t>. The number of stores open at the end of the period.</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new store openings. </w:t>
      </w:r>
      <w:r>
        <w:rPr>
          <w:rFonts w:ascii="Times New Roman" w:cs="Times New Roman" w:eastAsia="Times New Roman" w:hAnsi="Times New Roman"/>
          <w:sz w:val="18"/>
          <w:szCs w:val="18"/>
          <w:color w:val="auto"/>
        </w:rPr>
        <w:t>The number of gross new stores opened during the period minus the number of stores permanently closed during the period.</w:t>
      </w:r>
    </w:p>
    <w:p>
      <w:pPr>
        <w:spacing w:after="0" w:line="225" w:lineRule="exact"/>
        <w:rPr>
          <w:rFonts w:ascii="Times New Roman" w:cs="Times New Roman" w:eastAsia="Times New Roman" w:hAnsi="Times New Roman"/>
          <w:sz w:val="18"/>
          <w:szCs w:val="18"/>
          <w:color w:val="auto"/>
        </w:rPr>
      </w:pPr>
    </w:p>
    <w:p>
      <w:pPr>
        <w:ind w:left="340" w:hanging="332"/>
        <w:spacing w:after="0" w:line="286"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Average monthly transacting customers</w:t>
      </w:r>
      <w:r>
        <w:rPr>
          <w:rFonts w:ascii="Times New Roman" w:cs="Times New Roman" w:eastAsia="Times New Roman" w:hAnsi="Times New Roman"/>
          <w:sz w:val="18"/>
          <w:szCs w:val="18"/>
          <w:color w:val="auto"/>
        </w:rPr>
        <w:t>. The total of each month’s number of transacting customers divided by the number of months during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period (includes those of partnership stores and those only paid with free-coupons).</w:t>
      </w:r>
    </w:p>
    <w:p>
      <w:pPr>
        <w:spacing w:after="0" w:line="154"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Non-GAAP operating income</w:t>
      </w:r>
      <w:r>
        <w:rPr>
          <w:rFonts w:ascii="Times New Roman" w:cs="Times New Roman" w:eastAsia="Times New Roman" w:hAnsi="Times New Roman"/>
          <w:sz w:val="18"/>
          <w:szCs w:val="18"/>
          <w:color w:val="auto"/>
        </w:rPr>
        <w:t>. Calculated by operating income excluding share-based compensation expenses.</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8"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Non-GAAP net income</w:t>
      </w:r>
      <w:r>
        <w:rPr>
          <w:rFonts w:ascii="Times New Roman" w:cs="Times New Roman" w:eastAsia="Times New Roman" w:hAnsi="Times New Roman"/>
          <w:sz w:val="18"/>
          <w:szCs w:val="18"/>
          <w:color w:val="auto"/>
        </w:rPr>
        <w:t>. Calculated by net income excluding recurring item of share-based compensation expenses and income tax effects of GAAP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non-GAAP reconciling items. From the fourth quarter of 2024, the Company added income tax effects of GAAP to non-GAAP reconciling items when reconciling adjustments from GAAP to Non-GAAP net income. Comparative figures were also adjusted accordingly.</w:t>
      </w:r>
    </w:p>
    <w:p>
      <w:pPr>
        <w:spacing w:after="0" w:line="170" w:lineRule="exact"/>
        <w:rPr>
          <w:rFonts w:ascii="Times New Roman" w:cs="Times New Roman" w:eastAsia="Times New Roman" w:hAnsi="Times New Roman"/>
          <w:sz w:val="18"/>
          <w:szCs w:val="18"/>
          <w:color w:val="auto"/>
        </w:rPr>
      </w:pPr>
    </w:p>
    <w:p>
      <w:pPr>
        <w:jc w:val="both"/>
        <w:ind w:left="340" w:hanging="332"/>
        <w:spacing w:after="0" w:line="259"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Non-GAAP net income attributable to the Company’s ordinary shareholders. </w:t>
      </w:r>
      <w:r>
        <w:rPr>
          <w:rFonts w:ascii="Times New Roman" w:cs="Times New Roman" w:eastAsia="Times New Roman" w:hAnsi="Times New Roman"/>
          <w:sz w:val="18"/>
          <w:szCs w:val="18"/>
          <w:color w:val="auto"/>
        </w:rPr>
        <w:t>Calculated by adjusting net income attributable to the Company’s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ordinary shareholders excluding recurring item of share-based compensation expenses and income tax effects of GAAP to non-GAAP reconciling items. From the fourth quarter of 2024, the Company added income tax effects of GAAP to non-GAAP reconciling items when reconciling adjustments from GAAP to Non-GAAP net income attributable to the Company’s ordinary shareholders. Comparative figures were also adjusted accordingly.</w:t>
      </w:r>
    </w:p>
    <w:p>
      <w:pPr>
        <w:spacing w:after="0" w:line="179" w:lineRule="exact"/>
        <w:rPr>
          <w:rFonts w:ascii="Times New Roman" w:cs="Times New Roman" w:eastAsia="Times New Roman" w:hAnsi="Times New Roman"/>
          <w:sz w:val="18"/>
          <w:szCs w:val="18"/>
          <w:color w:val="auto"/>
        </w:rPr>
      </w:pPr>
    </w:p>
    <w:p>
      <w:pPr>
        <w:ind w:left="340" w:right="20" w:hanging="332"/>
        <w:spacing w:after="0" w:line="286"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Non-GAAP basic and diluted net income per share. </w:t>
      </w:r>
      <w:r>
        <w:rPr>
          <w:rFonts w:ascii="Times New Roman" w:cs="Times New Roman" w:eastAsia="Times New Roman" w:hAnsi="Times New Roman"/>
          <w:sz w:val="18"/>
          <w:szCs w:val="18"/>
          <w:color w:val="auto"/>
        </w:rPr>
        <w:t>Calculated as non-GAAP net income attributable to the Company’s ordinary shareholders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divided by weighted average number of basic and diluted share.</w:t>
      </w:r>
    </w:p>
    <w:p>
      <w:pPr>
        <w:spacing w:after="0" w:line="154" w:lineRule="exact"/>
        <w:rPr>
          <w:rFonts w:ascii="Times New Roman" w:cs="Times New Roman" w:eastAsia="Times New Roman" w:hAnsi="Times New Roman"/>
          <w:sz w:val="18"/>
          <w:szCs w:val="18"/>
          <w:color w:val="auto"/>
        </w:rPr>
      </w:pPr>
    </w:p>
    <w:p>
      <w:pPr>
        <w:ind w:left="340" w:hanging="332"/>
        <w:spacing w:after="0" w:line="286"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Non-GAAP basic and diluted net income per ADS. </w:t>
      </w:r>
      <w:r>
        <w:rPr>
          <w:rFonts w:ascii="Times New Roman" w:cs="Times New Roman" w:eastAsia="Times New Roman" w:hAnsi="Times New Roman"/>
          <w:sz w:val="18"/>
          <w:szCs w:val="18"/>
          <w:color w:val="auto"/>
        </w:rPr>
        <w:t>Calculated as non-GAAP net income attributable to the Company’s ordinary shareholders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divided by weighted average number of basic and diluted ADS.</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068"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USE OF NON-GAAP FINANCIAL MEASURES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evaluating the business, the Company considers and uses non-GAAP operating income/(loss) and non-GAAP net income/(loss), each a non-GAAP financial measure, in reviewing and assessing the Company’s operating performance. The presentation of these non-GAAP financial measures is not intended to be considered in isolation or as a substitute for the financial information prepared and presented in accordance with U.S. GAAP. The Company presents these non-GAAP financial measures because they are used by the Company’s management to evaluate operating performance and formulate business plans. The Company believes that the non-GAAP financial measures help identify underlying trends in the Company’s business, provide further information about the Company’s results of operations and enhance the overall understanding of the Company’s past performance and future prospects.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non-GAAP financial measures are not defined under U.S. GAAP and are not presented in accordance with U.S. GAAP. The non-GAAP financial measures have limitations as analytical tools. The Company’s non-GAAP financial measures do not reflect all items of income and expense that affect the Company’s operations and do not represent the residual cash flow available for discretionary expenditures. Furthermore, these non-GAAP measures may differ from the non-GAAP information used by other companies, including peer companies, and therefore their comparability may be limited. The Company compensates for these limitations by reconciling the non-GAAP financial measures to the nearest U.S. GAAP performance measure, all of which should be considered when evaluating the Company’s performance. The Company encourages investors and others to review the Company’s financial information in its entirety and not rely on a single financial measure.</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defines non-GAAP operating income/(loss) as operating income/(loss) excluding share-based compensation expenses, non-GAAP net income/(loss) as net income/(loss) excluding recurring item of share-based compensation expenses and income tax effects of GAAP to non-GAAP reconciling items, and non-GAAP net income/(loss) attributable to the Company’s ordinary shareholders as net income/(loss) attributable to the Company’s ordinary shareholders excluding recurring item of share-based compensation expenses and income tax effects of GAAP to non-GAAP reconciling items.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more information on the non-GAAP financial measures, please see the table captioned “Reconciliation of Non-GAAP Measures to the Most Directly Comparable GAAP Measures” set forth at the end of this earnings release.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EXCHANGE RATE INFORMATION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earnings release contains translations of certain RMB amounts into U.S. dollars (“US$”) at specified rates solely for the convenience of the reader. Unless otherwise noted, all translations from RMB to US$ were made at the rate of RMB7.1328 to US$1.00, the exchange rate on September 26, 2025 set forth in the H.10 statistical release of the Federal Reserve Board. The Company makes no representation that the RMB or US$ amounts referred could be converted into US$ or RMB, as the case may be, at any particular rate or at all.</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CONFERENCE CALL</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will host a conference call today, on Monday, November 17, 2025, at 8:00 am Eastern Time (or Monday, November 17, 2025, at 9:00 pm Beijing Time) to discuss the financial results.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Participants may access the call by dialing the following numbers: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 Toll Free:</w:t>
            </w:r>
          </w:p>
        </w:tc>
        <w:tc>
          <w:tcPr>
            <w:tcW w:w="200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99"/>
              </w:rPr>
              <w:t>+1-888-317-6003</w:t>
            </w:r>
          </w:p>
        </w:tc>
      </w:tr>
      <w:tr>
        <w:trPr>
          <w:trHeight w:val="216"/>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200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99"/>
              </w:rPr>
              <w:t>+1-412-317-6061</w:t>
            </w:r>
          </w:p>
        </w:tc>
      </w:tr>
      <w:tr>
        <w:trPr>
          <w:trHeight w:val="216"/>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Mainland China Toll Free:</w:t>
            </w:r>
          </w:p>
        </w:tc>
        <w:tc>
          <w:tcPr>
            <w:tcW w:w="20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400-120-6115</w:t>
            </w:r>
          </w:p>
        </w:tc>
      </w:tr>
      <w:tr>
        <w:trPr>
          <w:trHeight w:val="216"/>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Hong Kong Toll Free:</w:t>
            </w:r>
          </w:p>
        </w:tc>
        <w:tc>
          <w:tcPr>
            <w:tcW w:w="20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800-963-976</w:t>
            </w:r>
          </w:p>
        </w:tc>
      </w:tr>
      <w:tr>
        <w:trPr>
          <w:trHeight w:val="234"/>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Conference ID:</w:t>
            </w:r>
          </w:p>
        </w:tc>
        <w:tc>
          <w:tcPr>
            <w:tcW w:w="20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1129169</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replay will be accessible through November 24, 2025, by dialing the following numbers: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 Toll Free:</w:t>
            </w:r>
          </w:p>
        </w:tc>
        <w:tc>
          <w:tcPr>
            <w:tcW w:w="2100" w:type="dxa"/>
            <w:vAlign w:val="bottom"/>
          </w:tcPr>
          <w:p>
            <w:pPr>
              <w:ind w:left="820"/>
              <w:spacing w:after="0"/>
              <w:rPr>
                <w:sz w:val="20"/>
                <w:szCs w:val="20"/>
                <w:color w:val="auto"/>
              </w:rPr>
            </w:pPr>
            <w:r>
              <w:rPr>
                <w:rFonts w:ascii="Times New Roman" w:cs="Times New Roman" w:eastAsia="Times New Roman" w:hAnsi="Times New Roman"/>
                <w:sz w:val="18"/>
                <w:szCs w:val="18"/>
                <w:color w:val="auto"/>
                <w:w w:val="99"/>
              </w:rPr>
              <w:t>+1-877-344-7529</w:t>
            </w:r>
          </w:p>
        </w:tc>
      </w:tr>
      <w:tr>
        <w:trPr>
          <w:trHeight w:val="216"/>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2100" w:type="dxa"/>
            <w:vAlign w:val="bottom"/>
          </w:tcPr>
          <w:p>
            <w:pPr>
              <w:ind w:left="820"/>
              <w:spacing w:after="0"/>
              <w:rPr>
                <w:sz w:val="20"/>
                <w:szCs w:val="20"/>
                <w:color w:val="auto"/>
              </w:rPr>
            </w:pPr>
            <w:r>
              <w:rPr>
                <w:rFonts w:ascii="Times New Roman" w:cs="Times New Roman" w:eastAsia="Times New Roman" w:hAnsi="Times New Roman"/>
                <w:sz w:val="18"/>
                <w:szCs w:val="18"/>
                <w:color w:val="auto"/>
                <w:w w:val="99"/>
              </w:rPr>
              <w:t>+1-412-317-0088</w:t>
            </w:r>
          </w:p>
        </w:tc>
      </w:tr>
      <w:tr>
        <w:trPr>
          <w:trHeight w:val="234"/>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Access Code:</w:t>
            </w:r>
          </w:p>
        </w:tc>
        <w:tc>
          <w:tcPr>
            <w:tcW w:w="21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6663040</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 live and archived webcast of the conference call will also be available at the Company’s investor relations website at </w:t>
      </w:r>
      <w:r>
        <w:rPr>
          <w:rFonts w:ascii="Times New Roman" w:cs="Times New Roman" w:eastAsia="Times New Roman" w:hAnsi="Times New Roman"/>
          <w:sz w:val="18"/>
          <w:szCs w:val="18"/>
          <w:u w:val="single" w:color="auto"/>
          <w:color w:val="auto"/>
        </w:rPr>
        <w:t>investor.lkcoffee.com</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earnings release contains forward-looking statements within the meaning of Section 21E of the Securities Exchange Act of 1934, as amended. These forward-looking statements are made under the “safe harbor” provisions of the U.S. Private Securities Litigation Reform Act of 1995. These statements can be identified by terminology such as “will,” “expects,” “anticipates,” “future,” “intends,” “plans,” “believes,” “estimates,” “potential,” “continue,” “ongoing,” “targets,” “guidance” and similar statements. Luckin Coffee may also make written or oral forward-looking statements in its periodic reports to the U.S. Securities and Exchange Commission (the “SEC”), in its annual report to shareholders, in press releases and other written materials and in oral statements made by its officers, directors or employees to third parties. Any statements that are not historical facts, including statements about Luckin Coffee’s beliefs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the expense, timing and outcome of existing or future legal and governmental proceedings or investigations in connection with Luckin Coffee; the outcome and effect of the restructuring of Luckin Coffee’s financial obligations; Luckin Coffee’s growth strategies; its future business development, results of operations and financial condition; the effect of the non-reliance identified in, and the resultant restatement of, certain of Luckin Coffee’s previously issued financial results; the effectiveness of its internal control; its ability to retain and attract its customers; its ability to maintain and enhance the recognition and reputation of its brand; its ability to maintain and improve quality control policies and measures; its ability to establish and maintain relationships with its suppliers and business partners; trends and competition in the coffee industry or the food and beverage sector in general; changes in its revenues and certain cost or expense items; the expected growth of China’s coffee industry or China’s food and beverage sector in general; governmental policies and regulations relating to Luckin Coffee’s industry; and general economic and business conditions globally and in China and assumptions underlying or related to any of the foregoing. Further information regarding these and other risks, uncertainties or factors is included in Luckin Coffee’s filings with the SEC. All information provided in this press release and in the attachments is as of the date of this press release, and Luckin Coffee undertakes no obligation to update any forward-looking statement, except as required under applicable law.</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STATEMENT REGARDING PRELIMINARY UNAUDITED FINANCIAL INFORMATION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unaudited financial information set out in this earnings release is preliminary and subject to potential adjustments. Adjustments to the consolidated financial statements may be identified when audit work has been performed for the Company’s year-end audit, which could result in significant differences from this preliminary unaudited financial information. Accordingly, you should not place undue reliance upon these preliminary estimates. The preliminary unaudited financial information included in this press release has been prepared by, and is the responsibility of, the Company’s management. The Company’s auditor has not audited, reviewed, compiled or applied agreed-upon procedures with respect to such preliminary financial data. Accordingly, the Company’s auditor does not express an opinion or any other form of assurance with respect thereto. Upon completion of the year-end audit, the Company’s audited financial results may differ materially from its preliminary estimates.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LUCKIN COFFEE INC.</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Luckin Coffee Inc. (OTC: LKNCY) has pioneered a technology-driven retail network to provide coffee and other products of high quality, high convenience and high affordability to customers. Empowered by proprietary technologies, Luckin Coffee pursues its vision to build a world-class coffee brand and become a part of everyone’s daily life. Luckin Coffee was founded in 2017 and is based in China. For more information, please visit investor.lkcoffee.com.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AND MEDIA 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Luckin Coffee IR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ir@lkcoffee.com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Bill Zima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646 880 9039</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Luckin Coffee PR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pr@lkcoffee.com</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LUCKIN COFFEE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 AS OF DECEMBER 31,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UNAUDITED CONDENSED CONSOLIDATED BALANCE SHEET AS OF SEPTEMBER 30,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of RMB and US$, except for number of shares)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8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ind w:left="40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6980" w:type="dxa"/>
            <w:vAlign w:val="bottom"/>
          </w:tcPr>
          <w:p>
            <w:pPr>
              <w:spacing w:after="0"/>
              <w:rPr>
                <w:sz w:val="16"/>
                <w:szCs w:val="16"/>
                <w:color w:val="auto"/>
              </w:rPr>
            </w:pPr>
          </w:p>
        </w:tc>
        <w:tc>
          <w:tcPr>
            <w:tcW w:w="1480" w:type="dxa"/>
            <w:vAlign w:val="bottom"/>
            <w:gridSpan w:val="2"/>
          </w:tcPr>
          <w:p>
            <w:pPr>
              <w:jc w:val="center"/>
              <w:ind w:right="200"/>
              <w:spacing w:after="0" w:line="188"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2680" w:type="dxa"/>
            <w:vAlign w:val="bottom"/>
            <w:gridSpan w:val="4"/>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September 30, 2025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6980" w:type="dxa"/>
            <w:vAlign w:val="bottom"/>
          </w:tcPr>
          <w:p>
            <w:pPr>
              <w:spacing w:after="0"/>
              <w:rPr>
                <w:sz w:val="20"/>
                <w:szCs w:val="20"/>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0"/>
                <w:szCs w:val="20"/>
                <w:color w:val="auto"/>
              </w:rPr>
            </w:pPr>
          </w:p>
        </w:tc>
        <w:tc>
          <w:tcPr>
            <w:tcW w:w="1840" w:type="dxa"/>
            <w:vAlign w:val="bottom"/>
            <w:tcBorders>
              <w:bottom w:val="single" w:sz="8" w:color="auto"/>
            </w:tcBorders>
            <w:gridSpan w:val="3"/>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98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220" w:type="dxa"/>
            <w:vAlign w:val="bottom"/>
          </w:tcPr>
          <w:p>
            <w:pPr>
              <w:spacing w:after="0"/>
              <w:rPr>
                <w:sz w:val="18"/>
                <w:szCs w:val="18"/>
                <w:color w:val="auto"/>
              </w:rPr>
            </w:pPr>
          </w:p>
        </w:tc>
        <w:tc>
          <w:tcPr>
            <w:tcW w:w="1840" w:type="dxa"/>
            <w:vAlign w:val="bottom"/>
            <w:gridSpan w:val="3"/>
          </w:tcPr>
          <w:p>
            <w:pPr>
              <w:ind w:left="400"/>
              <w:spacing w:after="0"/>
              <w:rPr>
                <w:sz w:val="20"/>
                <w:szCs w:val="20"/>
                <w:color w:val="auto"/>
              </w:rPr>
            </w:pPr>
            <w:r>
              <w:rPr>
                <w:rFonts w:ascii="Times New Roman" w:cs="Times New Roman" w:eastAsia="Times New Roman" w:hAnsi="Times New Roman"/>
                <w:sz w:val="18"/>
                <w:szCs w:val="18"/>
                <w:b w:val="1"/>
                <w:bCs w:val="1"/>
                <w:color w:val="auto"/>
              </w:rPr>
              <w:t>RMB</w:t>
            </w:r>
          </w:p>
        </w:tc>
        <w:tc>
          <w:tcPr>
            <w:tcW w:w="8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4,362,309</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2,178,198</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305,378</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3,781</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5,584</w:t>
            </w:r>
          </w:p>
        </w:tc>
        <w:tc>
          <w:tcPr>
            <w:tcW w:w="4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783</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deposit - current</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1,127,541</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3,522,526</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493,849</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Short-term investment, net</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250,000</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2,879,000</w:t>
            </w:r>
          </w:p>
        </w:tc>
        <w:tc>
          <w:tcPr>
            <w:tcW w:w="4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403,628</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111,251</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161,851</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22,691</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Receivables from online payment platforms</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438,458</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583,546</w:t>
            </w:r>
          </w:p>
        </w:tc>
        <w:tc>
          <w:tcPr>
            <w:tcW w:w="4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81,812</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 net</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2,500,205</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3,060,275</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429,043</w:t>
            </w:r>
          </w:p>
        </w:tc>
        <w:tc>
          <w:tcPr>
            <w:tcW w:w="0" w:type="dxa"/>
            <w:vAlign w:val="bottom"/>
          </w:tcPr>
          <w:p>
            <w:pPr>
              <w:spacing w:after="0"/>
              <w:rPr>
                <w:sz w:val="1"/>
                <w:szCs w:val="1"/>
                <w:color w:val="auto"/>
              </w:rPr>
            </w:pPr>
          </w:p>
        </w:tc>
      </w:tr>
      <w:tr>
        <w:trPr>
          <w:trHeight w:val="229"/>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current assets, net</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1,938,054</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2,266,553</w:t>
            </w:r>
          </w:p>
        </w:tc>
        <w:tc>
          <w:tcPr>
            <w:tcW w:w="4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317,765</w:t>
            </w:r>
          </w:p>
        </w:tc>
        <w:tc>
          <w:tcPr>
            <w:tcW w:w="0" w:type="dxa"/>
            <w:vAlign w:val="bottom"/>
          </w:tcPr>
          <w:p>
            <w:pPr>
              <w:spacing w:after="0"/>
              <w:rPr>
                <w:sz w:val="1"/>
                <w:szCs w:val="1"/>
                <w:color w:val="auto"/>
              </w:rPr>
            </w:pPr>
          </w:p>
        </w:tc>
      </w:tr>
      <w:tr>
        <w:trPr>
          <w:trHeight w:val="209"/>
        </w:trPr>
        <w:tc>
          <w:tcPr>
            <w:tcW w:w="6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10,731,599</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14,657,533</w:t>
            </w:r>
          </w:p>
        </w:tc>
        <w:tc>
          <w:tcPr>
            <w:tcW w:w="2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2,054,949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5,065,903</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5,867,594</w:t>
            </w:r>
          </w:p>
        </w:tc>
        <w:tc>
          <w:tcPr>
            <w:tcW w:w="4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822,621</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40,595</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62,469</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8,758</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Term deposit - non-current</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150,000</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700,000</w:t>
            </w:r>
          </w:p>
        </w:tc>
        <w:tc>
          <w:tcPr>
            <w:tcW w:w="4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98,138</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assets, net</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929,165</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984,850</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138,073</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 net</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271,601</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198,332</w:t>
            </w:r>
          </w:p>
        </w:tc>
        <w:tc>
          <w:tcPr>
            <w:tcW w:w="4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27,806</w:t>
            </w:r>
          </w:p>
        </w:tc>
        <w:tc>
          <w:tcPr>
            <w:tcW w:w="0" w:type="dxa"/>
            <w:vAlign w:val="bottom"/>
          </w:tcPr>
          <w:p>
            <w:pPr>
              <w:spacing w:after="0"/>
              <w:rPr>
                <w:sz w:val="1"/>
                <w:szCs w:val="1"/>
                <w:color w:val="auto"/>
              </w:rPr>
            </w:pPr>
          </w:p>
        </w:tc>
      </w:tr>
      <w:tr>
        <w:trPr>
          <w:trHeight w:val="230"/>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5,937,063</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7,205,863</w:t>
            </w:r>
          </w:p>
        </w:tc>
        <w:tc>
          <w:tcPr>
            <w:tcW w:w="4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1,010,243</w:t>
            </w:r>
          </w:p>
        </w:tc>
        <w:tc>
          <w:tcPr>
            <w:tcW w:w="0" w:type="dxa"/>
            <w:vAlign w:val="bottom"/>
          </w:tcPr>
          <w:p>
            <w:pPr>
              <w:spacing w:after="0"/>
              <w:rPr>
                <w:sz w:val="1"/>
                <w:szCs w:val="1"/>
                <w:color w:val="auto"/>
              </w:rPr>
            </w:pPr>
          </w:p>
        </w:tc>
      </w:tr>
      <w:tr>
        <w:trPr>
          <w:trHeight w:val="209"/>
        </w:trPr>
        <w:tc>
          <w:tcPr>
            <w:tcW w:w="6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12,394,327</w:t>
            </w:r>
          </w:p>
        </w:tc>
        <w:tc>
          <w:tcPr>
            <w:tcW w:w="220" w:type="dxa"/>
            <w:vAlign w:val="bottom"/>
            <w:tcBorders>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15,019,108</w:t>
            </w:r>
          </w:p>
        </w:tc>
        <w:tc>
          <w:tcPr>
            <w:tcW w:w="22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2,105,639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23,125,926</w:t>
            </w:r>
          </w:p>
        </w:tc>
        <w:tc>
          <w:tcPr>
            <w:tcW w:w="2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29,676,641</w:t>
            </w:r>
          </w:p>
        </w:tc>
        <w:tc>
          <w:tcPr>
            <w:tcW w:w="2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4,160,588</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9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MEZZANINE EQUITY AND SHAREHOLDERS’ EQUITY</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bank borrowings</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300,000</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738,677</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1,209,391</w:t>
            </w:r>
          </w:p>
        </w:tc>
        <w:tc>
          <w:tcPr>
            <w:tcW w:w="4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169,553</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3,034,205</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4,524,334</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634,300</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revenues</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153,248</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151,472</w:t>
            </w:r>
          </w:p>
        </w:tc>
        <w:tc>
          <w:tcPr>
            <w:tcW w:w="4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21,239</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Payable for equity litigants settlement</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119,560</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116,853</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16,382</w:t>
            </w:r>
          </w:p>
        </w:tc>
        <w:tc>
          <w:tcPr>
            <w:tcW w:w="0" w:type="dxa"/>
            <w:vAlign w:val="bottom"/>
          </w:tcPr>
          <w:p>
            <w:pPr>
              <w:spacing w:after="0"/>
              <w:rPr>
                <w:sz w:val="1"/>
                <w:szCs w:val="1"/>
                <w:color w:val="auto"/>
              </w:rPr>
            </w:pPr>
          </w:p>
        </w:tc>
      </w:tr>
      <w:tr>
        <w:trPr>
          <w:trHeight w:val="229"/>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2,343,387</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2,829,976</w:t>
            </w:r>
          </w:p>
        </w:tc>
        <w:tc>
          <w:tcPr>
            <w:tcW w:w="4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396,755</w:t>
            </w:r>
          </w:p>
        </w:tc>
        <w:tc>
          <w:tcPr>
            <w:tcW w:w="0" w:type="dxa"/>
            <w:vAlign w:val="bottom"/>
          </w:tcPr>
          <w:p>
            <w:pPr>
              <w:spacing w:after="0"/>
              <w:rPr>
                <w:sz w:val="1"/>
                <w:szCs w:val="1"/>
                <w:color w:val="auto"/>
              </w:rPr>
            </w:pPr>
          </w:p>
        </w:tc>
      </w:tr>
      <w:tr>
        <w:trPr>
          <w:trHeight w:val="210"/>
        </w:trPr>
        <w:tc>
          <w:tcPr>
            <w:tcW w:w="6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6,689,077</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8,832,026</w:t>
            </w:r>
          </w:p>
        </w:tc>
        <w:tc>
          <w:tcPr>
            <w:tcW w:w="2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1,238,229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Long-term bank borrowings</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33,600</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286,030</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40,101</w:t>
            </w:r>
          </w:p>
        </w:tc>
        <w:tc>
          <w:tcPr>
            <w:tcW w:w="0" w:type="dxa"/>
            <w:vAlign w:val="bottom"/>
          </w:tcPr>
          <w:p>
            <w:pPr>
              <w:spacing w:after="0"/>
              <w:rPr>
                <w:sz w:val="1"/>
                <w:szCs w:val="1"/>
                <w:color w:val="auto"/>
              </w:rPr>
            </w:pPr>
          </w:p>
        </w:tc>
      </w:tr>
      <w:tr>
        <w:trPr>
          <w:trHeight w:val="230"/>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3,330,529</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4,027,649</w:t>
            </w:r>
          </w:p>
        </w:tc>
        <w:tc>
          <w:tcPr>
            <w:tcW w:w="4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564,666</w:t>
            </w:r>
          </w:p>
        </w:tc>
        <w:tc>
          <w:tcPr>
            <w:tcW w:w="0" w:type="dxa"/>
            <w:vAlign w:val="bottom"/>
          </w:tcPr>
          <w:p>
            <w:pPr>
              <w:spacing w:after="0"/>
              <w:rPr>
                <w:sz w:val="1"/>
                <w:szCs w:val="1"/>
                <w:color w:val="auto"/>
              </w:rPr>
            </w:pPr>
          </w:p>
        </w:tc>
      </w:tr>
      <w:tr>
        <w:trPr>
          <w:trHeight w:val="210"/>
        </w:trPr>
        <w:tc>
          <w:tcPr>
            <w:tcW w:w="6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3,364,129</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4,313,679</w:t>
            </w:r>
          </w:p>
        </w:tc>
        <w:tc>
          <w:tcPr>
            <w:tcW w:w="2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604,767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10,053,206</w:t>
            </w:r>
          </w:p>
        </w:tc>
        <w:tc>
          <w:tcPr>
            <w:tcW w:w="22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13,145,705</w:t>
            </w:r>
          </w:p>
        </w:tc>
        <w:tc>
          <w:tcPr>
            <w:tcW w:w="2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1,842,996</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Mezzanine equity</w:t>
            </w: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senior preferred shares</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1,514,660</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1,514,660</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212,351</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Class A Ordinary shares</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w:t>
            </w:r>
          </w:p>
        </w:tc>
        <w:tc>
          <w:tcPr>
            <w:tcW w:w="4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B Ordinary shares</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16,705,240</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17,136,003</w:t>
            </w:r>
          </w:p>
        </w:tc>
        <w:tc>
          <w:tcPr>
            <w:tcW w:w="4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2,402,423</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Statutory reserves</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368,046</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198,266</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27,796</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deficits</w:t>
            </w: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(5,953,788)</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(2,701,816)</w:t>
            </w:r>
          </w:p>
        </w:tc>
        <w:tc>
          <w:tcPr>
            <w:tcW w:w="4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(378,788)</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438,536</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383,797</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53,807</w:t>
            </w:r>
          </w:p>
        </w:tc>
        <w:tc>
          <w:tcPr>
            <w:tcW w:w="0" w:type="dxa"/>
            <w:vAlign w:val="bottom"/>
          </w:tcPr>
          <w:p>
            <w:pPr>
              <w:spacing w:after="0"/>
              <w:rPr>
                <w:sz w:val="1"/>
                <w:szCs w:val="1"/>
                <w:color w:val="auto"/>
              </w:rPr>
            </w:pPr>
          </w:p>
        </w:tc>
      </w:tr>
      <w:tr>
        <w:trPr>
          <w:trHeight w:val="229"/>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Company’s ordinary shareholders’ equity</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11,558,060</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15,016,276</w:t>
            </w:r>
          </w:p>
        </w:tc>
        <w:tc>
          <w:tcPr>
            <w:tcW w:w="4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2,105,241</w:t>
            </w:r>
          </w:p>
        </w:tc>
        <w:tc>
          <w:tcPr>
            <w:tcW w:w="0" w:type="dxa"/>
            <w:vAlign w:val="bottom"/>
          </w:tcPr>
          <w:p>
            <w:pPr>
              <w:spacing w:after="0"/>
              <w:rPr>
                <w:sz w:val="1"/>
                <w:szCs w:val="1"/>
                <w:color w:val="auto"/>
              </w:rPr>
            </w:pPr>
          </w:p>
        </w:tc>
      </w:tr>
      <w:tr>
        <w:trPr>
          <w:trHeight w:val="223"/>
        </w:trPr>
        <w:tc>
          <w:tcPr>
            <w:tcW w:w="6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MEZZANINE EQUITY AND SHAREHOLDERS’ EQUITY</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23,125,926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29,676,641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4,160,588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80" w:type="dxa"/>
            <w:vAlign w:val="bottom"/>
            <w:vMerge w:val="restart"/>
          </w:tcPr>
          <w:p>
            <w:pPr>
              <w:ind w:left="5580"/>
              <w:spacing w:after="0"/>
              <w:rPr>
                <w:sz w:val="20"/>
                <w:szCs w:val="20"/>
                <w:color w:val="auto"/>
              </w:rPr>
            </w:pPr>
            <w:r>
              <w:rPr>
                <w:rFonts w:ascii="Times New Roman" w:cs="Times New Roman" w:eastAsia="Times New Roman" w:hAnsi="Times New Roman"/>
                <w:sz w:val="18"/>
                <w:szCs w:val="18"/>
                <w:color w:val="auto"/>
              </w:rPr>
              <w:t>8</w:t>
            </w: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6980" w:type="dxa"/>
            <w:vAlign w:val="bottom"/>
            <w:tcBorders>
              <w:bottom w:val="single" w:sz="8" w:color="auto"/>
            </w:tcBorders>
            <w:vMerge w:val="continue"/>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33"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LUCKIN COFFEE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OPERATIONS AND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of RMB and US$, except for number of shares and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20" w:type="dxa"/>
            <w:vAlign w:val="bottom"/>
          </w:tcPr>
          <w:p>
            <w:pPr>
              <w:spacing w:after="0"/>
              <w:rPr>
                <w:sz w:val="20"/>
                <w:szCs w:val="20"/>
                <w:color w:val="auto"/>
              </w:rPr>
            </w:pPr>
          </w:p>
        </w:tc>
        <w:tc>
          <w:tcPr>
            <w:tcW w:w="3760" w:type="dxa"/>
            <w:vAlign w:val="bottom"/>
            <w:gridSpan w:val="7"/>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 September 30,</w:t>
            </w:r>
          </w:p>
        </w:tc>
        <w:tc>
          <w:tcPr>
            <w:tcW w:w="3660" w:type="dxa"/>
            <w:vAlign w:val="bottom"/>
            <w:gridSpan w:val="7"/>
          </w:tcPr>
          <w:p>
            <w:pPr>
              <w:jc w:val="center"/>
              <w:ind w:right="21"/>
              <w:spacing w:after="0"/>
              <w:rPr>
                <w:sz w:val="20"/>
                <w:szCs w:val="20"/>
                <w:color w:val="auto"/>
              </w:rPr>
            </w:pPr>
            <w:r>
              <w:rPr>
                <w:rFonts w:ascii="Times New Roman" w:cs="Times New Roman" w:eastAsia="Times New Roman" w:hAnsi="Times New Roman"/>
                <w:sz w:val="18"/>
                <w:szCs w:val="18"/>
                <w:b w:val="1"/>
                <w:bCs w:val="1"/>
                <w:color w:val="auto"/>
                <w:w w:val="99"/>
              </w:rPr>
              <w:t>For the nine months ended September 30,</w:t>
            </w:r>
          </w:p>
        </w:tc>
      </w:tr>
      <w:tr>
        <w:trPr>
          <w:trHeight w:val="223"/>
        </w:trPr>
        <w:tc>
          <w:tcPr>
            <w:tcW w:w="382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9"/>
                <w:szCs w:val="19"/>
                <w:color w:val="auto"/>
              </w:rPr>
            </w:pPr>
          </w:p>
        </w:tc>
        <w:tc>
          <w:tcPr>
            <w:tcW w:w="1420" w:type="dxa"/>
            <w:vAlign w:val="bottom"/>
            <w:tcBorders>
              <w:top w:val="single" w:sz="8" w:color="auto"/>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60" w:type="dxa"/>
            <w:vAlign w:val="bottom"/>
            <w:tcBorders>
              <w:top w:val="single" w:sz="8" w:color="auto"/>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9"/>
                <w:szCs w:val="19"/>
                <w:color w:val="auto"/>
              </w:rPr>
            </w:pPr>
          </w:p>
        </w:tc>
        <w:tc>
          <w:tcPr>
            <w:tcW w:w="1420" w:type="dxa"/>
            <w:vAlign w:val="bottom"/>
            <w:tcBorders>
              <w:top w:val="single" w:sz="8" w:color="auto"/>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8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3820" w:type="dxa"/>
            <w:vAlign w:val="bottom"/>
          </w:tcPr>
          <w:p>
            <w:pPr>
              <w:spacing w:after="0"/>
              <w:rPr>
                <w:sz w:val="19"/>
                <w:szCs w:val="19"/>
                <w:color w:val="auto"/>
              </w:rPr>
            </w:pPr>
          </w:p>
        </w:tc>
        <w:tc>
          <w:tcPr>
            <w:tcW w:w="10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RMB</w:t>
            </w:r>
          </w:p>
        </w:tc>
        <w:tc>
          <w:tcPr>
            <w:tcW w:w="220" w:type="dxa"/>
            <w:vAlign w:val="bottom"/>
          </w:tcPr>
          <w:p>
            <w:pPr>
              <w:spacing w:after="0"/>
              <w:rPr>
                <w:sz w:val="19"/>
                <w:szCs w:val="19"/>
                <w:color w:val="auto"/>
              </w:rPr>
            </w:pPr>
          </w:p>
        </w:tc>
        <w:tc>
          <w:tcPr>
            <w:tcW w:w="142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US$</w:t>
            </w:r>
          </w:p>
        </w:tc>
        <w:tc>
          <w:tcPr>
            <w:tcW w:w="220" w:type="dxa"/>
            <w:vAlign w:val="bottom"/>
          </w:tcPr>
          <w:p>
            <w:pPr>
              <w:spacing w:after="0"/>
              <w:rPr>
                <w:sz w:val="19"/>
                <w:szCs w:val="19"/>
                <w:color w:val="auto"/>
              </w:rPr>
            </w:pPr>
          </w:p>
        </w:tc>
        <w:tc>
          <w:tcPr>
            <w:tcW w:w="10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RMB</w:t>
            </w:r>
          </w:p>
        </w:tc>
        <w:tc>
          <w:tcPr>
            <w:tcW w:w="220" w:type="dxa"/>
            <w:vAlign w:val="bottom"/>
          </w:tcPr>
          <w:p>
            <w:pPr>
              <w:spacing w:after="0"/>
              <w:rPr>
                <w:sz w:val="19"/>
                <w:szCs w:val="19"/>
                <w:color w:val="auto"/>
              </w:rPr>
            </w:pPr>
          </w:p>
        </w:tc>
        <w:tc>
          <w:tcPr>
            <w:tcW w:w="142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8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19"/>
                <w:szCs w:val="19"/>
                <w:color w:val="auto"/>
              </w:rPr>
            </w:pPr>
          </w:p>
        </w:tc>
      </w:tr>
      <w:tr>
        <w:trPr>
          <w:trHeight w:val="209"/>
        </w:trPr>
        <w:tc>
          <w:tcPr>
            <w:tcW w:w="3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revenues:</w:t>
            </w:r>
          </w:p>
        </w:tc>
        <w:tc>
          <w:tcPr>
            <w:tcW w:w="10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Revenues from product sales</w:t>
            </w:r>
          </w:p>
        </w:tc>
        <w:tc>
          <w:tcPr>
            <w:tcW w:w="12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7,839,479</w:t>
            </w:r>
          </w:p>
        </w:tc>
        <w:tc>
          <w:tcPr>
            <w:tcW w:w="12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11,488,260</w:t>
            </w:r>
          </w:p>
        </w:tc>
        <w:tc>
          <w:tcPr>
            <w:tcW w:w="18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1,610,624</w:t>
            </w:r>
          </w:p>
        </w:tc>
        <w:tc>
          <w:tcPr>
            <w:tcW w:w="12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19,162,032</w:t>
            </w:r>
          </w:p>
        </w:tc>
        <w:tc>
          <w:tcPr>
            <w:tcW w:w="12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27,764,284</w:t>
            </w:r>
          </w:p>
        </w:tc>
        <w:tc>
          <w:tcPr>
            <w:tcW w:w="16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3,892,481</w:t>
            </w:r>
          </w:p>
        </w:tc>
      </w:tr>
      <w:tr>
        <w:trPr>
          <w:trHeight w:val="230"/>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from partnership stores</w:t>
            </w:r>
          </w:p>
        </w:tc>
        <w:tc>
          <w:tcPr>
            <w:tcW w:w="12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2,341,287</w:t>
            </w:r>
          </w:p>
        </w:tc>
        <w:tc>
          <w:tcPr>
            <w:tcW w:w="124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3,798,852</w:t>
            </w: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532,589</w:t>
            </w:r>
          </w:p>
        </w:tc>
        <w:tc>
          <w:tcPr>
            <w:tcW w:w="12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5,699,505</w:t>
            </w:r>
          </w:p>
        </w:tc>
        <w:tc>
          <w:tcPr>
            <w:tcW w:w="12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8,746,978</w:t>
            </w: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1,226,304</w:t>
            </w:r>
          </w:p>
        </w:tc>
      </w:tr>
      <w:tr>
        <w:trPr>
          <w:trHeight w:val="209"/>
        </w:trPr>
        <w:tc>
          <w:tcPr>
            <w:tcW w:w="3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net revenues</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10,180,766</w:t>
            </w:r>
          </w:p>
        </w:tc>
        <w:tc>
          <w:tcPr>
            <w:tcW w:w="220" w:type="dxa"/>
            <w:vAlign w:val="bottom"/>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15,287,112</w:t>
            </w: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2,143,213</w:t>
            </w:r>
          </w:p>
        </w:tc>
        <w:tc>
          <w:tcPr>
            <w:tcW w:w="220" w:type="dxa"/>
            <w:vAlign w:val="bottom"/>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24,861,537</w:t>
            </w:r>
          </w:p>
        </w:tc>
        <w:tc>
          <w:tcPr>
            <w:tcW w:w="220" w:type="dxa"/>
            <w:vAlign w:val="bottom"/>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36,511,262</w:t>
            </w: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5,118,785</w:t>
            </w:r>
          </w:p>
        </w:tc>
        <w:tc>
          <w:tcPr>
            <w:tcW w:w="100" w:type="dxa"/>
            <w:vAlign w:val="bottom"/>
          </w:tcPr>
          <w:p>
            <w:pPr>
              <w:spacing w:after="0"/>
              <w:rPr>
                <w:sz w:val="18"/>
                <w:szCs w:val="18"/>
                <w:color w:val="auto"/>
              </w:rPr>
            </w:pPr>
          </w:p>
        </w:tc>
      </w:tr>
      <w:tr>
        <w:trPr>
          <w:trHeight w:val="216"/>
        </w:trPr>
        <w:tc>
          <w:tcPr>
            <w:tcW w:w="38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Cost of materials</w:t>
            </w:r>
          </w:p>
        </w:tc>
        <w:tc>
          <w:tcPr>
            <w:tcW w:w="12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(3,939,915)</w:t>
            </w:r>
          </w:p>
        </w:tc>
        <w:tc>
          <w:tcPr>
            <w:tcW w:w="12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(5,539,919)</w:t>
            </w:r>
          </w:p>
        </w:tc>
        <w:tc>
          <w:tcPr>
            <w:tcW w:w="180" w:type="dxa"/>
            <w:vAlign w:val="bottom"/>
          </w:tcPr>
          <w:p>
            <w:pPr>
              <w:spacing w:after="0"/>
              <w:rPr>
                <w:sz w:val="18"/>
                <w:szCs w:val="18"/>
                <w:color w:val="auto"/>
              </w:rPr>
            </w:pPr>
          </w:p>
        </w:tc>
        <w:tc>
          <w:tcPr>
            <w:tcW w:w="10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(776,682)</w:t>
            </w:r>
          </w:p>
        </w:tc>
        <w:tc>
          <w:tcPr>
            <w:tcW w:w="12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(10,248,842)</w:t>
            </w:r>
          </w:p>
        </w:tc>
        <w:tc>
          <w:tcPr>
            <w:tcW w:w="12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(13,675,678)</w:t>
            </w:r>
          </w:p>
        </w:tc>
        <w:tc>
          <w:tcPr>
            <w:tcW w:w="1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(1,917,294)</w:t>
            </w: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Store rental and other operating costs</w:t>
            </w:r>
          </w:p>
        </w:tc>
        <w:tc>
          <w:tcPr>
            <w:tcW w:w="12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(2,284,889)</w:t>
            </w:r>
          </w:p>
        </w:tc>
        <w:tc>
          <w:tcPr>
            <w:tcW w:w="12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(3,097,088)</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(434,204)</w:t>
            </w:r>
          </w:p>
        </w:tc>
        <w:tc>
          <w:tcPr>
            <w:tcW w:w="12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(6,168,379)</w:t>
            </w:r>
          </w:p>
        </w:tc>
        <w:tc>
          <w:tcPr>
            <w:tcW w:w="12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(8,091,301)</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(1,134,379)</w:t>
            </w: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 expenses</w:t>
            </w:r>
          </w:p>
        </w:tc>
        <w:tc>
          <w:tcPr>
            <w:tcW w:w="12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(309,704)</w:t>
            </w:r>
          </w:p>
        </w:tc>
        <w:tc>
          <w:tcPr>
            <w:tcW w:w="12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(409,964)</w:t>
            </w:r>
          </w:p>
        </w:tc>
        <w:tc>
          <w:tcPr>
            <w:tcW w:w="180" w:type="dxa"/>
            <w:vAlign w:val="bottom"/>
          </w:tcPr>
          <w:p>
            <w:pPr>
              <w:spacing w:after="0"/>
              <w:rPr>
                <w:sz w:val="18"/>
                <w:szCs w:val="18"/>
                <w:color w:val="auto"/>
              </w:rPr>
            </w:pPr>
          </w:p>
        </w:tc>
        <w:tc>
          <w:tcPr>
            <w:tcW w:w="10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(57,476)</w:t>
            </w:r>
          </w:p>
        </w:tc>
        <w:tc>
          <w:tcPr>
            <w:tcW w:w="12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(858,215)</w:t>
            </w:r>
          </w:p>
        </w:tc>
        <w:tc>
          <w:tcPr>
            <w:tcW w:w="12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(1,123,074)</w:t>
            </w:r>
          </w:p>
        </w:tc>
        <w:tc>
          <w:tcPr>
            <w:tcW w:w="1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(157,452)</w:t>
            </w: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Delivery expenses</w:t>
            </w:r>
          </w:p>
        </w:tc>
        <w:tc>
          <w:tcPr>
            <w:tcW w:w="12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(927,693)</w:t>
            </w:r>
          </w:p>
        </w:tc>
        <w:tc>
          <w:tcPr>
            <w:tcW w:w="12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(2,889,182)</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(405,056)</w:t>
            </w:r>
          </w:p>
        </w:tc>
        <w:tc>
          <w:tcPr>
            <w:tcW w:w="12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(1,982,406)</w:t>
            </w:r>
          </w:p>
        </w:tc>
        <w:tc>
          <w:tcPr>
            <w:tcW w:w="12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(5,247,879)</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(735,739)</w:t>
            </w: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12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(588,987)</w:t>
            </w:r>
          </w:p>
        </w:tc>
        <w:tc>
          <w:tcPr>
            <w:tcW w:w="12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(751,239)</w:t>
            </w:r>
          </w:p>
        </w:tc>
        <w:tc>
          <w:tcPr>
            <w:tcW w:w="180" w:type="dxa"/>
            <w:vAlign w:val="bottom"/>
          </w:tcPr>
          <w:p>
            <w:pPr>
              <w:spacing w:after="0"/>
              <w:rPr>
                <w:sz w:val="18"/>
                <w:szCs w:val="18"/>
                <w:color w:val="auto"/>
              </w:rPr>
            </w:pPr>
          </w:p>
        </w:tc>
        <w:tc>
          <w:tcPr>
            <w:tcW w:w="10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(105,322)</w:t>
            </w:r>
          </w:p>
        </w:tc>
        <w:tc>
          <w:tcPr>
            <w:tcW w:w="12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(1,347,412)</w:t>
            </w:r>
          </w:p>
        </w:tc>
        <w:tc>
          <w:tcPr>
            <w:tcW w:w="12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(1,840,153)</w:t>
            </w:r>
          </w:p>
        </w:tc>
        <w:tc>
          <w:tcPr>
            <w:tcW w:w="1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(257,985)</w:t>
            </w: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2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(636,645)</w:t>
            </w:r>
          </w:p>
        </w:tc>
        <w:tc>
          <w:tcPr>
            <w:tcW w:w="12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(793,449)</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(111,239)</w:t>
            </w:r>
          </w:p>
        </w:tc>
        <w:tc>
          <w:tcPr>
            <w:tcW w:w="12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(1,782,892)</w:t>
            </w:r>
          </w:p>
        </w:tc>
        <w:tc>
          <w:tcPr>
            <w:tcW w:w="12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(2,210,822)</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(309,951)</w:t>
            </w: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Store preopening and other expenses</w:t>
            </w:r>
          </w:p>
        </w:tc>
        <w:tc>
          <w:tcPr>
            <w:tcW w:w="12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(13,466)</w:t>
            </w:r>
          </w:p>
        </w:tc>
        <w:tc>
          <w:tcPr>
            <w:tcW w:w="12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(27,428)</w:t>
            </w:r>
          </w:p>
        </w:tc>
        <w:tc>
          <w:tcPr>
            <w:tcW w:w="180" w:type="dxa"/>
            <w:vAlign w:val="bottom"/>
          </w:tcPr>
          <w:p>
            <w:pPr>
              <w:spacing w:after="0"/>
              <w:rPr>
                <w:sz w:val="18"/>
                <w:szCs w:val="18"/>
                <w:color w:val="auto"/>
              </w:rPr>
            </w:pPr>
          </w:p>
        </w:tc>
        <w:tc>
          <w:tcPr>
            <w:tcW w:w="10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(3,845)</w:t>
            </w:r>
          </w:p>
        </w:tc>
        <w:tc>
          <w:tcPr>
            <w:tcW w:w="12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(55,976)</w:t>
            </w:r>
          </w:p>
        </w:tc>
        <w:tc>
          <w:tcPr>
            <w:tcW w:w="12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(59,756)</w:t>
            </w:r>
          </w:p>
        </w:tc>
        <w:tc>
          <w:tcPr>
            <w:tcW w:w="1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(8,378)</w:t>
            </w: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loss of long-lived assets</w:t>
            </w:r>
          </w:p>
        </w:tc>
        <w:tc>
          <w:tcPr>
            <w:tcW w:w="12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(8,925)</w:t>
            </w:r>
          </w:p>
        </w:tc>
        <w:tc>
          <w:tcPr>
            <w:tcW w:w="124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(8,925)</w:t>
            </w:r>
          </w:p>
        </w:tc>
        <w:tc>
          <w:tcPr>
            <w:tcW w:w="12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(5,509)</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w:t>
            </w:r>
          </w:p>
        </w:tc>
      </w:tr>
      <w:tr>
        <w:trPr>
          <w:trHeight w:val="198"/>
        </w:trPr>
        <w:tc>
          <w:tcPr>
            <w:tcW w:w="38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Losses and expenses related to Fabricated</w:t>
            </w: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8"/>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Transactions and Restructuring</w:t>
            </w:r>
          </w:p>
        </w:tc>
        <w:tc>
          <w:tcPr>
            <w:tcW w:w="12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102,454</w:t>
            </w:r>
          </w:p>
        </w:tc>
        <w:tc>
          <w:tcPr>
            <w:tcW w:w="12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(2,289)</w:t>
            </w:r>
          </w:p>
        </w:tc>
        <w:tc>
          <w:tcPr>
            <w:tcW w:w="180" w:type="dxa"/>
            <w:vAlign w:val="bottom"/>
          </w:tcPr>
          <w:p>
            <w:pPr>
              <w:spacing w:after="0"/>
              <w:rPr>
                <w:sz w:val="21"/>
                <w:szCs w:val="21"/>
                <w:color w:val="auto"/>
              </w:rPr>
            </w:pPr>
          </w:p>
        </w:tc>
        <w:tc>
          <w:tcPr>
            <w:tcW w:w="10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(321)</w:t>
            </w:r>
          </w:p>
        </w:tc>
        <w:tc>
          <w:tcPr>
            <w:tcW w:w="12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153,821</w:t>
            </w:r>
          </w:p>
        </w:tc>
        <w:tc>
          <w:tcPr>
            <w:tcW w:w="12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(5,596)</w:t>
            </w:r>
          </w:p>
        </w:tc>
        <w:tc>
          <w:tcPr>
            <w:tcW w:w="16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(785)</w:t>
            </w:r>
          </w:p>
        </w:tc>
      </w:tr>
      <w:tr>
        <w:trPr>
          <w:trHeight w:val="209"/>
        </w:trPr>
        <w:tc>
          <w:tcPr>
            <w:tcW w:w="3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(8,607,770</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(13,510,558</w:t>
            </w:r>
          </w:p>
        </w:tc>
        <w:tc>
          <w:tcPr>
            <w:tcW w:w="220" w:type="dxa"/>
            <w:vAlign w:val="bottom"/>
            <w:tcBorders>
              <w:top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(1,894,145</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(22,299,226</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(32,259,768</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(4,522,735</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10"/>
        </w:trPr>
        <w:tc>
          <w:tcPr>
            <w:tcW w:w="3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1,572,996</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1,776,554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249,068</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2,562,311</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4,251,494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596,050</w:t>
            </w:r>
          </w:p>
        </w:tc>
        <w:tc>
          <w:tcPr>
            <w:tcW w:w="100" w:type="dxa"/>
            <w:vAlign w:val="bottom"/>
          </w:tcPr>
          <w:p>
            <w:pPr>
              <w:spacing w:after="0"/>
              <w:rPr>
                <w:sz w:val="18"/>
                <w:szCs w:val="18"/>
                <w:color w:val="auto"/>
              </w:rPr>
            </w:pPr>
          </w:p>
        </w:tc>
      </w:tr>
      <w:tr>
        <w:trPr>
          <w:trHeight w:val="216"/>
        </w:trPr>
        <w:tc>
          <w:tcPr>
            <w:tcW w:w="38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investment income</w:t>
            </w:r>
          </w:p>
        </w:tc>
        <w:tc>
          <w:tcPr>
            <w:tcW w:w="12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25,153</w:t>
            </w:r>
          </w:p>
        </w:tc>
        <w:tc>
          <w:tcPr>
            <w:tcW w:w="12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54,134</w:t>
            </w:r>
          </w:p>
        </w:tc>
        <w:tc>
          <w:tcPr>
            <w:tcW w:w="18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7,589</w:t>
            </w:r>
          </w:p>
        </w:tc>
        <w:tc>
          <w:tcPr>
            <w:tcW w:w="12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54,738</w:t>
            </w:r>
          </w:p>
        </w:tc>
        <w:tc>
          <w:tcPr>
            <w:tcW w:w="12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133,326</w:t>
            </w:r>
          </w:p>
        </w:tc>
        <w:tc>
          <w:tcPr>
            <w:tcW w:w="16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18,692</w:t>
            </w: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and financing expenses</w:t>
            </w:r>
          </w:p>
        </w:tc>
        <w:tc>
          <w:tcPr>
            <w:tcW w:w="12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(1,918)</w:t>
            </w:r>
          </w:p>
        </w:tc>
        <w:tc>
          <w:tcPr>
            <w:tcW w:w="124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(2,007)</w:t>
            </w:r>
          </w:p>
        </w:tc>
        <w:tc>
          <w:tcPr>
            <w:tcW w:w="12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(125)</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Foreign exchange gain/(loss), net</w:t>
            </w:r>
          </w:p>
        </w:tc>
        <w:tc>
          <w:tcPr>
            <w:tcW w:w="12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68,090</w:t>
            </w:r>
          </w:p>
        </w:tc>
        <w:tc>
          <w:tcPr>
            <w:tcW w:w="12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(2,707)</w:t>
            </w:r>
          </w:p>
        </w:tc>
        <w:tc>
          <w:tcPr>
            <w:tcW w:w="180" w:type="dxa"/>
            <w:vAlign w:val="bottom"/>
          </w:tcPr>
          <w:p>
            <w:pPr>
              <w:spacing w:after="0"/>
              <w:rPr>
                <w:sz w:val="18"/>
                <w:szCs w:val="18"/>
                <w:color w:val="auto"/>
              </w:rPr>
            </w:pPr>
          </w:p>
        </w:tc>
        <w:tc>
          <w:tcPr>
            <w:tcW w:w="10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(380)</w:t>
            </w:r>
          </w:p>
        </w:tc>
        <w:tc>
          <w:tcPr>
            <w:tcW w:w="12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38,882</w:t>
            </w:r>
          </w:p>
        </w:tc>
        <w:tc>
          <w:tcPr>
            <w:tcW w:w="12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(12,797)</w:t>
            </w:r>
          </w:p>
        </w:tc>
        <w:tc>
          <w:tcPr>
            <w:tcW w:w="1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(1,794)</w:t>
            </w:r>
          </w:p>
        </w:tc>
      </w:tr>
      <w:tr>
        <w:trPr>
          <w:trHeight w:val="230"/>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6,578</w:t>
            </w: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10,476</w:t>
            </w: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1,469</w:t>
            </w:r>
          </w:p>
        </w:tc>
        <w:tc>
          <w:tcPr>
            <w:tcW w:w="12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73,956</w:t>
            </w:r>
          </w:p>
        </w:tc>
        <w:tc>
          <w:tcPr>
            <w:tcW w:w="12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59,824</w:t>
            </w: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8,387</w:t>
            </w:r>
          </w:p>
        </w:tc>
      </w:tr>
      <w:tr>
        <w:trPr>
          <w:trHeight w:val="20"/>
        </w:trPr>
        <w:tc>
          <w:tcPr>
            <w:tcW w:w="38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ectPr>
          <w:pgSz w:w="11900" w:h="16838" w:orient="portrait"/>
          <w:cols w:equalWidth="0" w:num="1">
            <w:col w:w="11240"/>
          </w:cols>
          <w:pgMar w:left="320" w:top="792" w:right="339" w:bottom="1440" w:gutter="0" w:footer="0" w:header="0"/>
        </w:sectPr>
      </w:pPr>
    </w:p>
    <w:p>
      <w:pPr>
        <w:spacing w:after="0"/>
        <w:rPr>
          <w:sz w:val="20"/>
          <w:szCs w:val="20"/>
          <w:color w:val="auto"/>
        </w:rPr>
      </w:pPr>
      <w:r>
        <w:rPr>
          <w:rFonts w:ascii="Times New Roman" w:cs="Times New Roman" w:eastAsia="Times New Roman" w:hAnsi="Times New Roman"/>
          <w:sz w:val="18"/>
          <w:szCs w:val="18"/>
          <w:b w:val="1"/>
          <w:bCs w:val="1"/>
          <w:color w:val="auto"/>
        </w:rPr>
        <w:t>Net income before income taxes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 expense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w:t>
      </w:r>
    </w:p>
    <w:p>
      <w:pPr>
        <w:spacing w:after="0" w:line="4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Net income attributable to the Company’s ordinary shareholders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12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1,670,899</w:t>
            </w:r>
          </w:p>
        </w:tc>
        <w:tc>
          <w:tcPr>
            <w:tcW w:w="124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1,838,457</w:t>
            </w:r>
          </w:p>
        </w:tc>
        <w:tc>
          <w:tcPr>
            <w:tcW w:w="12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257,746</w:t>
            </w:r>
          </w:p>
        </w:tc>
        <w:tc>
          <w:tcPr>
            <w:tcW w:w="12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2,727,880</w:t>
            </w:r>
          </w:p>
        </w:tc>
        <w:tc>
          <w:tcPr>
            <w:tcW w:w="12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4,431,722</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621,317</w:t>
            </w:r>
          </w:p>
        </w:tc>
        <w:tc>
          <w:tcPr>
            <w:tcW w:w="60" w:type="dxa"/>
            <w:vAlign w:val="bottom"/>
          </w:tcPr>
          <w:p>
            <w:pPr>
              <w:spacing w:after="0"/>
              <w:rPr>
                <w:sz w:val="20"/>
                <w:szCs w:val="20"/>
                <w:color w:val="auto"/>
              </w:rPr>
            </w:pPr>
          </w:p>
        </w:tc>
      </w:tr>
      <w:tr>
        <w:trPr>
          <w:trHeight w:val="210"/>
        </w:trPr>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(356,615</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(560,133</w:t>
            </w:r>
          </w:p>
        </w:tc>
        <w:tc>
          <w:tcPr>
            <w:tcW w:w="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(78,529</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(622,862</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(1,349,530</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(189,201</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23"/>
        </w:trPr>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1,314,284</w:t>
            </w:r>
          </w:p>
        </w:tc>
        <w:tc>
          <w:tcPr>
            <w:tcW w:w="220" w:type="dxa"/>
            <w:vAlign w:val="bottom"/>
          </w:tcPr>
          <w:p>
            <w:pPr>
              <w:spacing w:after="0"/>
              <w:rPr>
                <w:sz w:val="19"/>
                <w:szCs w:val="19"/>
                <w:color w:val="auto"/>
              </w:rPr>
            </w:pPr>
          </w:p>
        </w:tc>
        <w:tc>
          <w:tcPr>
            <w:tcW w:w="102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w w:val="94"/>
              </w:rPr>
              <w:t>1,278,324</w:t>
            </w:r>
          </w:p>
        </w:tc>
        <w:tc>
          <w:tcPr>
            <w:tcW w:w="22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179,217</w:t>
            </w:r>
          </w:p>
        </w:tc>
        <w:tc>
          <w:tcPr>
            <w:tcW w:w="22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2,105,018</w:t>
            </w:r>
          </w:p>
        </w:tc>
        <w:tc>
          <w:tcPr>
            <w:tcW w:w="22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3,082,192</w:t>
            </w:r>
          </w:p>
        </w:tc>
        <w:tc>
          <w:tcPr>
            <w:tcW w:w="22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432,116</w:t>
            </w:r>
          </w:p>
        </w:tc>
        <w:tc>
          <w:tcPr>
            <w:tcW w:w="60" w:type="dxa"/>
            <w:vAlign w:val="bottom"/>
          </w:tcPr>
          <w:p>
            <w:pPr>
              <w:spacing w:after="0"/>
              <w:rPr>
                <w:sz w:val="19"/>
                <w:szCs w:val="19"/>
                <w:color w:val="auto"/>
              </w:rPr>
            </w:pPr>
          </w:p>
        </w:tc>
      </w:tr>
      <w:tr>
        <w:trPr>
          <w:trHeight w:val="20"/>
        </w:trPr>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3"/>
        </w:trPr>
        <w:tc>
          <w:tcPr>
            <w:tcW w:w="12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1,314,284</w:t>
            </w:r>
          </w:p>
        </w:tc>
        <w:tc>
          <w:tcPr>
            <w:tcW w:w="124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1,278,324</w:t>
            </w:r>
          </w:p>
        </w:tc>
        <w:tc>
          <w:tcPr>
            <w:tcW w:w="12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179,217</w:t>
            </w:r>
          </w:p>
        </w:tc>
        <w:tc>
          <w:tcPr>
            <w:tcW w:w="12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2,105,018</w:t>
            </w:r>
          </w:p>
        </w:tc>
        <w:tc>
          <w:tcPr>
            <w:tcW w:w="12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3,082,192</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432,116</w:t>
            </w:r>
          </w:p>
        </w:tc>
        <w:tc>
          <w:tcPr>
            <w:tcW w:w="60" w:type="dxa"/>
            <w:vAlign w:val="bottom"/>
          </w:tcPr>
          <w:p>
            <w:pPr>
              <w:spacing w:after="0"/>
              <w:rPr>
                <w:sz w:val="24"/>
                <w:szCs w:val="24"/>
                <w:color w:val="auto"/>
              </w:rPr>
            </w:pPr>
          </w:p>
        </w:tc>
      </w:tr>
      <w:tr>
        <w:trPr>
          <w:trHeight w:val="20"/>
        </w:trPr>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-2419985</wp:posOffset>
            </wp:positionH>
            <wp:positionV relativeFrom="paragraph">
              <wp:posOffset>-770890</wp:posOffset>
            </wp:positionV>
            <wp:extent cx="7132320" cy="1454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-2419985</wp:posOffset>
            </wp:positionH>
            <wp:positionV relativeFrom="paragraph">
              <wp:posOffset>-479425</wp:posOffset>
            </wp:positionV>
            <wp:extent cx="7132320" cy="1631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3240" w:space="580"/>
            <w:col w:w="7420"/>
          </w:cols>
          <w:pgMar w:left="320" w:top="792" w:right="3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38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per share:</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0.52</w:t>
            </w: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0.50</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0.07</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0.83</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1.20</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0.17</w:t>
            </w: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0.52</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0.49</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0.07</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0.83</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1.19</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0.17</w:t>
            </w: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per ADS:</w:t>
            </w: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4.16</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4.00</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0.56</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6.64</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9.60</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1.36</w:t>
            </w: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4.16</w:t>
            </w: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3.92</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0.56</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6.64</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9.52</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1.36</w:t>
            </w:r>
          </w:p>
        </w:tc>
      </w:tr>
      <w:tr>
        <w:trPr>
          <w:trHeight w:val="216"/>
        </w:trPr>
        <w:tc>
          <w:tcPr>
            <w:tcW w:w="38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4"/>
        </w:trPr>
        <w:tc>
          <w:tcPr>
            <w:tcW w:w="382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Weighted average shares outstanding used in</w:t>
            </w:r>
          </w:p>
        </w:tc>
        <w:tc>
          <w:tcPr>
            <w:tcW w:w="10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8"/>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calculating basic and diluted income per share:</w:t>
            </w:r>
          </w:p>
        </w:tc>
        <w:tc>
          <w:tcPr>
            <w:tcW w:w="10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8"/>
              </w:rPr>
              <w:t>2,545,551,167</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8"/>
              </w:rPr>
              <w:t>2,564,658,430</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8"/>
              </w:rPr>
              <w:t>2,564,658,430</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8"/>
              </w:rPr>
              <w:t>2,545,551,167</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8"/>
              </w:rPr>
              <w:t>2,564,658,441</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8"/>
              </w:rPr>
              <w:t>2,564,658,441</w:t>
            </w: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8"/>
              </w:rPr>
              <w:t>2,549,360,432</w:t>
            </w: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8"/>
              </w:rPr>
              <w:t>2,586,724,800</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8"/>
              </w:rPr>
              <w:t>2,586,724,800</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8"/>
              </w:rPr>
              <w:t>2,548,436,166</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8"/>
              </w:rPr>
              <w:t>2,584,194,116</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8"/>
              </w:rPr>
              <w:t>2,584,194,116</w:t>
            </w:r>
          </w:p>
        </w:tc>
      </w:tr>
      <w:tr>
        <w:trPr>
          <w:trHeight w:val="216"/>
        </w:trPr>
        <w:tc>
          <w:tcPr>
            <w:tcW w:w="38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1,314,284</w:t>
            </w: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1,278,324</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179,217</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2,105,018</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3,082,192</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432,116</w:t>
            </w: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net of tax of nil:</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38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Foreign currency translation difference, net of tax</w:t>
            </w: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 nil</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(90,996)</w:t>
            </w: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(17,645)</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(2,474)</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(61,843)</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(54,739)</w:t>
            </w: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(7,674)</w:t>
            </w:r>
          </w:p>
        </w:tc>
      </w:tr>
      <w:tr>
        <w:trPr>
          <w:trHeight w:val="230"/>
        </w:trPr>
        <w:tc>
          <w:tcPr>
            <w:tcW w:w="3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comprehensive income</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1,223,288</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1,260,679</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176,743</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2,043,175</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3,027,453</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424,442</w:t>
            </w:r>
          </w:p>
        </w:tc>
      </w:tr>
      <w:tr>
        <w:trPr>
          <w:trHeight w:val="174"/>
        </w:trPr>
        <w:tc>
          <w:tcPr>
            <w:tcW w:w="3820" w:type="dxa"/>
            <w:vAlign w:val="bottom"/>
            <w:tcBorders>
              <w:top w:val="single" w:sz="8" w:color="CCEEFF"/>
            </w:tcBorders>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Total comprehensive income attributable to the</w:t>
            </w:r>
          </w:p>
        </w:tc>
        <w:tc>
          <w:tcPr>
            <w:tcW w:w="10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65"/>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Company’s ordinary shareholders</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1,223,288</w:t>
            </w: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1,260,679</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176,743</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2,043,175</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3,027,453</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424,442</w:t>
            </w: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ind w:right="20" w:firstLine="8"/>
        <w:spacing w:after="0" w:line="282" w:lineRule="auto"/>
        <w:tabs>
          <w:tab w:leader="none" w:pos="14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ADS represents eight Class A Ordinary Shares. The per ADS indicators are based on rounded results of corresponding per share indicators, which could have a rounding difference of absolute amount for not more than 0.04 per ADS.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CHANGES IN INVENTORY ACCOUNTING</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Effective from July 1, 2025, the Company elected to change its method of accounting for certain of its inventories, primarily coffee beans produced in its roasting factories, from the weighted average method to the specific identification method, specifically, the by-batch method. The Company believes the by-batch method of accounting for coffee bean inventory in its roasting factories is preferable because this method: (i) better aligns the accounting records with the physical flow of inventories; (ii) better reflects the current cost of assets; and (iii) better represents how the management assesses the performances of different business units and better supports them to make strategic decisions. The effects of the change in accounting method have been retrospectively applied to all periods presented in all sections of this press release on Form 6-K.</w:t>
      </w:r>
    </w:p>
    <w:p>
      <w:pPr>
        <w:spacing w:after="0" w:line="12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financial statement line items within the accompanying unaudited interim 2024 and 2025 quarterly condensed consolidated financial statements were adjusted as follows, with all amounts presented in thousands of RMB, except for per share data:</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920" w:type="dxa"/>
            <w:vAlign w:val="bottom"/>
            <w:gridSpan w:val="11"/>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 September 30, 2025</w:t>
            </w:r>
          </w:p>
        </w:tc>
        <w:tc>
          <w:tcPr>
            <w:tcW w:w="20" w:type="dxa"/>
            <w:vAlign w:val="bottom"/>
          </w:tcPr>
          <w:p>
            <w:pPr>
              <w:spacing w:after="0"/>
              <w:rPr>
                <w:sz w:val="20"/>
                <w:szCs w:val="20"/>
                <w:color w:val="auto"/>
              </w:rPr>
            </w:pPr>
          </w:p>
        </w:tc>
        <w:tc>
          <w:tcPr>
            <w:tcW w:w="3840" w:type="dxa"/>
            <w:vAlign w:val="bottom"/>
            <w:gridSpan w:val="9"/>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 September 30, 2024</w:t>
            </w:r>
          </w:p>
        </w:tc>
      </w:tr>
      <w:tr>
        <w:trPr>
          <w:trHeight w:val="187"/>
        </w:trPr>
        <w:tc>
          <w:tcPr>
            <w:tcW w:w="344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3"/>
          </w:tcPr>
          <w:p>
            <w:pPr>
              <w:jc w:val="center"/>
              <w:ind w:right="26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As Reported</w:t>
            </w:r>
          </w:p>
        </w:tc>
        <w:tc>
          <w:tcPr>
            <w:tcW w:w="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640" w:type="dxa"/>
            <w:vAlign w:val="bottom"/>
            <w:tcBorders>
              <w:top w:val="single" w:sz="8" w:color="auto"/>
            </w:tcBorders>
            <w:gridSpan w:val="3"/>
          </w:tcPr>
          <w:p>
            <w:pPr>
              <w:jc w:val="center"/>
              <w:ind w:right="200"/>
              <w:spacing w:after="0" w:line="188" w:lineRule="exact"/>
              <w:rPr>
                <w:sz w:val="20"/>
                <w:szCs w:val="20"/>
                <w:color w:val="auto"/>
              </w:rPr>
            </w:pPr>
            <w:r>
              <w:rPr>
                <w:rFonts w:ascii="Times New Roman" w:cs="Times New Roman" w:eastAsia="Times New Roman" w:hAnsi="Times New Roman"/>
                <w:sz w:val="18"/>
                <w:szCs w:val="18"/>
                <w:b w:val="1"/>
                <w:bCs w:val="1"/>
                <w:color w:val="auto"/>
                <w:w w:val="98"/>
              </w:rPr>
              <w:t>As Previously</w:t>
            </w:r>
          </w:p>
        </w:tc>
        <w:tc>
          <w:tcPr>
            <w:tcW w:w="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3"/>
          </w:tcPr>
          <w:p>
            <w:pPr>
              <w:jc w:val="center"/>
              <w:ind w:right="2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As Adjusted</w:t>
            </w:r>
          </w:p>
        </w:tc>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3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6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As Calculated</w:t>
            </w:r>
          </w:p>
        </w:tc>
        <w:tc>
          <w:tcPr>
            <w:tcW w:w="20" w:type="dxa"/>
            <w:vAlign w:val="bottom"/>
          </w:tcPr>
          <w:p>
            <w:pPr>
              <w:spacing w:after="0"/>
              <w:rPr>
                <w:sz w:val="18"/>
                <w:szCs w:val="18"/>
                <w:color w:val="auto"/>
              </w:rPr>
            </w:pPr>
          </w:p>
        </w:tc>
        <w:tc>
          <w:tcPr>
            <w:tcW w:w="122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(Specific</w:t>
            </w: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4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Reported</w:t>
            </w:r>
          </w:p>
        </w:tc>
        <w:tc>
          <w:tcPr>
            <w:tcW w:w="20" w:type="dxa"/>
            <w:vAlign w:val="bottom"/>
          </w:tcPr>
          <w:p>
            <w:pPr>
              <w:spacing w:after="0"/>
              <w:rPr>
                <w:sz w:val="18"/>
                <w:szCs w:val="18"/>
                <w:color w:val="auto"/>
              </w:rPr>
            </w:pPr>
          </w:p>
        </w:tc>
        <w:tc>
          <w:tcPr>
            <w:tcW w:w="12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(Specific</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40" w:type="dxa"/>
            <w:vAlign w:val="bottom"/>
          </w:tcPr>
          <w:p>
            <w:pPr>
              <w:spacing w:after="0"/>
              <w:rPr>
                <w:sz w:val="18"/>
                <w:szCs w:val="18"/>
                <w:color w:val="auto"/>
              </w:rPr>
            </w:pPr>
          </w:p>
        </w:tc>
        <w:tc>
          <w:tcPr>
            <w:tcW w:w="168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124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identification</w:t>
            </w:r>
          </w:p>
        </w:tc>
        <w:tc>
          <w:tcPr>
            <w:tcW w:w="20" w:type="dxa"/>
            <w:vAlign w:val="bottom"/>
          </w:tcPr>
          <w:p>
            <w:pPr>
              <w:spacing w:after="0"/>
              <w:rPr>
                <w:sz w:val="18"/>
                <w:szCs w:val="18"/>
                <w:color w:val="auto"/>
              </w:rPr>
            </w:pPr>
          </w:p>
        </w:tc>
        <w:tc>
          <w:tcPr>
            <w:tcW w:w="10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Effect of</w:t>
            </w:r>
          </w:p>
        </w:tc>
        <w:tc>
          <w:tcPr>
            <w:tcW w:w="166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(Weighted average</w:t>
            </w:r>
          </w:p>
        </w:tc>
        <w:tc>
          <w:tcPr>
            <w:tcW w:w="20" w:type="dxa"/>
            <w:vAlign w:val="bottom"/>
          </w:tcPr>
          <w:p>
            <w:pPr>
              <w:spacing w:after="0"/>
              <w:rPr>
                <w:sz w:val="18"/>
                <w:szCs w:val="18"/>
                <w:color w:val="auto"/>
              </w:rPr>
            </w:pPr>
          </w:p>
        </w:tc>
        <w:tc>
          <w:tcPr>
            <w:tcW w:w="12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identification</w:t>
            </w: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Effect of</w:t>
            </w:r>
          </w:p>
        </w:tc>
      </w:tr>
      <w:tr>
        <w:trPr>
          <w:trHeight w:val="238"/>
        </w:trPr>
        <w:tc>
          <w:tcPr>
            <w:tcW w:w="3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6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method)</w:t>
            </w:r>
          </w:p>
        </w:tc>
        <w:tc>
          <w:tcPr>
            <w:tcW w:w="20" w:type="dxa"/>
            <w:vAlign w:val="bottom"/>
          </w:tcPr>
          <w:p>
            <w:pPr>
              <w:spacing w:after="0"/>
              <w:rPr>
                <w:sz w:val="20"/>
                <w:szCs w:val="20"/>
                <w:color w:val="auto"/>
              </w:rPr>
            </w:pPr>
          </w:p>
        </w:tc>
        <w:tc>
          <w:tcPr>
            <w:tcW w:w="12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method)</w:t>
            </w:r>
          </w:p>
        </w:tc>
        <w:tc>
          <w:tcPr>
            <w:tcW w:w="20" w:type="dxa"/>
            <w:vAlign w:val="bottom"/>
          </w:tcPr>
          <w:p>
            <w:pPr>
              <w:spacing w:after="0"/>
              <w:rPr>
                <w:sz w:val="20"/>
                <w:szCs w:val="20"/>
                <w:color w:val="auto"/>
              </w:rPr>
            </w:pPr>
          </w:p>
        </w:tc>
        <w:tc>
          <w:tcPr>
            <w:tcW w:w="10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0" w:type="dxa"/>
            <w:vAlign w:val="bottom"/>
          </w:tcPr>
          <w:p>
            <w:pPr>
              <w:spacing w:after="0"/>
              <w:rPr>
                <w:sz w:val="20"/>
                <w:szCs w:val="20"/>
                <w:color w:val="auto"/>
              </w:rPr>
            </w:pPr>
          </w:p>
        </w:tc>
        <w:tc>
          <w:tcPr>
            <w:tcW w:w="164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method)</w:t>
            </w:r>
          </w:p>
        </w:tc>
        <w:tc>
          <w:tcPr>
            <w:tcW w:w="20" w:type="dxa"/>
            <w:vAlign w:val="bottom"/>
          </w:tcPr>
          <w:p>
            <w:pPr>
              <w:spacing w:after="0"/>
              <w:rPr>
                <w:sz w:val="20"/>
                <w:szCs w:val="20"/>
                <w:color w:val="auto"/>
              </w:rPr>
            </w:pPr>
          </w:p>
        </w:tc>
        <w:tc>
          <w:tcPr>
            <w:tcW w:w="124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method)</w:t>
            </w: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10"/>
        </w:trPr>
        <w:tc>
          <w:tcPr>
            <w:tcW w:w="344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180" w:type="dxa"/>
            <w:vAlign w:val="bottom"/>
          </w:tcPr>
          <w:p>
            <w:pPr>
              <w:spacing w:after="0"/>
              <w:rPr>
                <w:sz w:val="18"/>
                <w:szCs w:val="18"/>
                <w:color w:val="auto"/>
              </w:rPr>
            </w:pPr>
          </w:p>
        </w:tc>
        <w:tc>
          <w:tcPr>
            <w:tcW w:w="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100" w:type="dxa"/>
            <w:vAlign w:val="bottom"/>
          </w:tcPr>
          <w:p>
            <w:pPr>
              <w:spacing w:after="0"/>
              <w:rPr>
                <w:sz w:val="18"/>
                <w:szCs w:val="18"/>
                <w:color w:val="auto"/>
              </w:rPr>
            </w:pPr>
          </w:p>
        </w:tc>
      </w:tr>
      <w:tr>
        <w:trPr>
          <w:trHeight w:val="216"/>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materials</w:t>
            </w:r>
          </w:p>
        </w:tc>
        <w:tc>
          <w:tcPr>
            <w:tcW w:w="168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(5,528,624)</w:t>
            </w:r>
          </w:p>
        </w:tc>
        <w:tc>
          <w:tcPr>
            <w:tcW w:w="124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(5,539,919)</w:t>
            </w:r>
          </w:p>
        </w:tc>
        <w:tc>
          <w:tcPr>
            <w:tcW w:w="102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(11,295)</w:t>
            </w:r>
          </w:p>
        </w:tc>
        <w:tc>
          <w:tcPr>
            <w:tcW w:w="166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(3,955,439)</w:t>
            </w:r>
          </w:p>
        </w:tc>
        <w:tc>
          <w:tcPr>
            <w:tcW w:w="126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(3,939,915)</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15,524</w:t>
            </w:r>
          </w:p>
        </w:tc>
      </w:tr>
      <w:tr>
        <w:trPr>
          <w:trHeight w:val="216"/>
        </w:trPr>
        <w:tc>
          <w:tcPr>
            <w:tcW w:w="3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68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(13,499,263)</w:t>
            </w:r>
          </w:p>
        </w:tc>
        <w:tc>
          <w:tcPr>
            <w:tcW w:w="124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(13,510,558)</w:t>
            </w:r>
          </w:p>
        </w:tc>
        <w:tc>
          <w:tcPr>
            <w:tcW w:w="102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(11,295)</w:t>
            </w:r>
          </w:p>
        </w:tc>
        <w:tc>
          <w:tcPr>
            <w:tcW w:w="166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(8,623,294)</w:t>
            </w:r>
          </w:p>
        </w:tc>
        <w:tc>
          <w:tcPr>
            <w:tcW w:w="126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(8,607,770)</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15,524</w:t>
            </w:r>
          </w:p>
        </w:tc>
      </w:tr>
      <w:tr>
        <w:trPr>
          <w:trHeight w:val="216"/>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5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1,787,849</w:t>
            </w:r>
          </w:p>
        </w:tc>
        <w:tc>
          <w:tcPr>
            <w:tcW w:w="1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1,776,554</w:t>
            </w:r>
          </w:p>
        </w:tc>
        <w:tc>
          <w:tcPr>
            <w:tcW w:w="16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(11,295)</w:t>
            </w:r>
          </w:p>
        </w:tc>
        <w:tc>
          <w:tcPr>
            <w:tcW w:w="166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1,557,472</w:t>
            </w:r>
          </w:p>
        </w:tc>
        <w:tc>
          <w:tcPr>
            <w:tcW w:w="126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1,572,996</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15,524</w:t>
            </w:r>
          </w:p>
        </w:tc>
      </w:tr>
      <w:tr>
        <w:trPr>
          <w:trHeight w:val="216"/>
        </w:trPr>
        <w:tc>
          <w:tcPr>
            <w:tcW w:w="3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before income taxes</w:t>
            </w:r>
          </w:p>
        </w:tc>
        <w:tc>
          <w:tcPr>
            <w:tcW w:w="15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1,849,752</w:t>
            </w:r>
          </w:p>
        </w:tc>
        <w:tc>
          <w:tcPr>
            <w:tcW w:w="180" w:type="dxa"/>
            <w:vAlign w:val="bottom"/>
          </w:tcPr>
          <w:p>
            <w:pPr>
              <w:spacing w:after="0"/>
              <w:rPr>
                <w:sz w:val="18"/>
                <w:szCs w:val="18"/>
                <w:color w:val="auto"/>
              </w:rPr>
            </w:pPr>
          </w:p>
        </w:tc>
        <w:tc>
          <w:tcPr>
            <w:tcW w:w="10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1,838,457</w:t>
            </w:r>
          </w:p>
        </w:tc>
        <w:tc>
          <w:tcPr>
            <w:tcW w:w="160" w:type="dxa"/>
            <w:vAlign w:val="bottom"/>
          </w:tcPr>
          <w:p>
            <w:pPr>
              <w:spacing w:after="0"/>
              <w:rPr>
                <w:sz w:val="18"/>
                <w:szCs w:val="18"/>
                <w:color w:val="auto"/>
              </w:rPr>
            </w:pPr>
          </w:p>
        </w:tc>
        <w:tc>
          <w:tcPr>
            <w:tcW w:w="102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(11,295)</w:t>
            </w:r>
          </w:p>
        </w:tc>
        <w:tc>
          <w:tcPr>
            <w:tcW w:w="166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1,655,375</w:t>
            </w:r>
          </w:p>
        </w:tc>
        <w:tc>
          <w:tcPr>
            <w:tcW w:w="126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1,670,899</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15,524</w:t>
            </w:r>
          </w:p>
        </w:tc>
      </w:tr>
      <w:tr>
        <w:trPr>
          <w:trHeight w:val="216"/>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68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(562,957)</w:t>
            </w:r>
          </w:p>
        </w:tc>
        <w:tc>
          <w:tcPr>
            <w:tcW w:w="124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(560,133)</w:t>
            </w: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2,824</w:t>
            </w:r>
          </w:p>
        </w:tc>
        <w:tc>
          <w:tcPr>
            <w:tcW w:w="180" w:type="dxa"/>
            <w:vAlign w:val="bottom"/>
            <w:shd w:val="clear" w:color="auto" w:fill="CCEEFF"/>
          </w:tcPr>
          <w:p>
            <w:pPr>
              <w:spacing w:after="0"/>
              <w:rPr>
                <w:sz w:val="18"/>
                <w:szCs w:val="18"/>
                <w:color w:val="auto"/>
              </w:rPr>
            </w:pPr>
          </w:p>
        </w:tc>
        <w:tc>
          <w:tcPr>
            <w:tcW w:w="166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(352,734)</w:t>
            </w:r>
          </w:p>
        </w:tc>
        <w:tc>
          <w:tcPr>
            <w:tcW w:w="126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(356,615)</w:t>
            </w: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(3,881)</w:t>
            </w:r>
          </w:p>
        </w:tc>
      </w:tr>
      <w:tr>
        <w:trPr>
          <w:trHeight w:val="216"/>
        </w:trPr>
        <w:tc>
          <w:tcPr>
            <w:tcW w:w="3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5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1,286,795</w:t>
            </w:r>
          </w:p>
        </w:tc>
        <w:tc>
          <w:tcPr>
            <w:tcW w:w="180" w:type="dxa"/>
            <w:vAlign w:val="bottom"/>
          </w:tcPr>
          <w:p>
            <w:pPr>
              <w:spacing w:after="0"/>
              <w:rPr>
                <w:sz w:val="18"/>
                <w:szCs w:val="18"/>
                <w:color w:val="auto"/>
              </w:rPr>
            </w:pPr>
          </w:p>
        </w:tc>
        <w:tc>
          <w:tcPr>
            <w:tcW w:w="10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1,278,324</w:t>
            </w:r>
          </w:p>
        </w:tc>
        <w:tc>
          <w:tcPr>
            <w:tcW w:w="160" w:type="dxa"/>
            <w:vAlign w:val="bottom"/>
          </w:tcPr>
          <w:p>
            <w:pPr>
              <w:spacing w:after="0"/>
              <w:rPr>
                <w:sz w:val="18"/>
                <w:szCs w:val="18"/>
                <w:color w:val="auto"/>
              </w:rPr>
            </w:pPr>
          </w:p>
        </w:tc>
        <w:tc>
          <w:tcPr>
            <w:tcW w:w="102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(8,471)</w:t>
            </w:r>
          </w:p>
        </w:tc>
        <w:tc>
          <w:tcPr>
            <w:tcW w:w="166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1,302,641</w:t>
            </w:r>
          </w:p>
        </w:tc>
        <w:tc>
          <w:tcPr>
            <w:tcW w:w="126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1,314,284</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11,643</w:t>
            </w:r>
          </w:p>
        </w:tc>
      </w:tr>
      <w:tr>
        <w:trPr>
          <w:trHeight w:val="194"/>
        </w:trPr>
        <w:tc>
          <w:tcPr>
            <w:tcW w:w="344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Net income attributable to the Company’s</w:t>
            </w:r>
          </w:p>
        </w:tc>
        <w:tc>
          <w:tcPr>
            <w:tcW w:w="2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8"/>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ordinary shareholders</w:t>
            </w:r>
          </w:p>
        </w:tc>
        <w:tc>
          <w:tcPr>
            <w:tcW w:w="15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1,286,795</w:t>
            </w:r>
          </w:p>
        </w:tc>
        <w:tc>
          <w:tcPr>
            <w:tcW w:w="180" w:type="dxa"/>
            <w:vAlign w:val="bottom"/>
            <w:shd w:val="clear" w:color="auto" w:fill="CCEEFF"/>
          </w:tcPr>
          <w:p>
            <w:pPr>
              <w:spacing w:after="0"/>
              <w:rPr>
                <w:sz w:val="20"/>
                <w:szCs w:val="20"/>
                <w:color w:val="auto"/>
              </w:rPr>
            </w:pPr>
          </w:p>
        </w:tc>
        <w:tc>
          <w:tcPr>
            <w:tcW w:w="10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1,278,324</w:t>
            </w:r>
          </w:p>
        </w:tc>
        <w:tc>
          <w:tcPr>
            <w:tcW w:w="160" w:type="dxa"/>
            <w:vAlign w:val="bottom"/>
            <w:shd w:val="clear" w:color="auto" w:fill="CCEEFF"/>
          </w:tcPr>
          <w:p>
            <w:pPr>
              <w:spacing w:after="0"/>
              <w:rPr>
                <w:sz w:val="20"/>
                <w:szCs w:val="20"/>
                <w:color w:val="auto"/>
              </w:rPr>
            </w:pPr>
          </w:p>
        </w:tc>
        <w:tc>
          <w:tcPr>
            <w:tcW w:w="102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(8,471)</w:t>
            </w:r>
          </w:p>
        </w:tc>
        <w:tc>
          <w:tcPr>
            <w:tcW w:w="166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1,302,641</w:t>
            </w:r>
          </w:p>
        </w:tc>
        <w:tc>
          <w:tcPr>
            <w:tcW w:w="126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1,314,284</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11,643</w:t>
            </w:r>
          </w:p>
        </w:tc>
      </w:tr>
      <w:tr>
        <w:trPr>
          <w:trHeight w:val="243"/>
        </w:trPr>
        <w:tc>
          <w:tcPr>
            <w:tcW w:w="3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per share:</w:t>
            </w:r>
          </w:p>
        </w:tc>
        <w:tc>
          <w:tcPr>
            <w:tcW w:w="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15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0.50</w:t>
            </w:r>
          </w:p>
        </w:tc>
        <w:tc>
          <w:tcPr>
            <w:tcW w:w="1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0.50</w:t>
            </w:r>
          </w:p>
        </w:tc>
        <w:tc>
          <w:tcPr>
            <w:tcW w:w="1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80" w:type="dxa"/>
            <w:vAlign w:val="bottom"/>
            <w:shd w:val="clear" w:color="auto" w:fill="CCEEFF"/>
          </w:tcPr>
          <w:p>
            <w:pPr>
              <w:spacing w:after="0"/>
              <w:rPr>
                <w:sz w:val="18"/>
                <w:szCs w:val="18"/>
                <w:color w:val="auto"/>
              </w:rPr>
            </w:pPr>
          </w:p>
        </w:tc>
        <w:tc>
          <w:tcPr>
            <w:tcW w:w="166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0.51</w:t>
            </w:r>
          </w:p>
        </w:tc>
        <w:tc>
          <w:tcPr>
            <w:tcW w:w="126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0.52</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0.01</w:t>
            </w:r>
          </w:p>
        </w:tc>
      </w:tr>
      <w:tr>
        <w:trPr>
          <w:trHeight w:val="216"/>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15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0.50</w:t>
            </w:r>
          </w:p>
        </w:tc>
        <w:tc>
          <w:tcPr>
            <w:tcW w:w="180" w:type="dxa"/>
            <w:vAlign w:val="bottom"/>
          </w:tcPr>
          <w:p>
            <w:pPr>
              <w:spacing w:after="0"/>
              <w:rPr>
                <w:sz w:val="18"/>
                <w:szCs w:val="18"/>
                <w:color w:val="auto"/>
              </w:rPr>
            </w:pPr>
          </w:p>
        </w:tc>
        <w:tc>
          <w:tcPr>
            <w:tcW w:w="10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0.49</w:t>
            </w:r>
          </w:p>
        </w:tc>
        <w:tc>
          <w:tcPr>
            <w:tcW w:w="160" w:type="dxa"/>
            <w:vAlign w:val="bottom"/>
          </w:tcPr>
          <w:p>
            <w:pPr>
              <w:spacing w:after="0"/>
              <w:rPr>
                <w:sz w:val="18"/>
                <w:szCs w:val="18"/>
                <w:color w:val="auto"/>
              </w:rPr>
            </w:pPr>
          </w:p>
        </w:tc>
        <w:tc>
          <w:tcPr>
            <w:tcW w:w="102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(0.01)</w:t>
            </w:r>
          </w:p>
        </w:tc>
        <w:tc>
          <w:tcPr>
            <w:tcW w:w="166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0.51</w:t>
            </w:r>
          </w:p>
        </w:tc>
        <w:tc>
          <w:tcPr>
            <w:tcW w:w="126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0.52</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0.01</w:t>
            </w:r>
          </w:p>
        </w:tc>
      </w:tr>
      <w:tr>
        <w:trPr>
          <w:trHeight w:val="243"/>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per ADS:</w:t>
            </w:r>
          </w:p>
        </w:tc>
        <w:tc>
          <w:tcPr>
            <w:tcW w:w="2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16"/>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15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4.00</w:t>
            </w:r>
          </w:p>
        </w:tc>
        <w:tc>
          <w:tcPr>
            <w:tcW w:w="180" w:type="dxa"/>
            <w:vAlign w:val="bottom"/>
          </w:tcPr>
          <w:p>
            <w:pPr>
              <w:spacing w:after="0"/>
              <w:rPr>
                <w:sz w:val="18"/>
                <w:szCs w:val="18"/>
                <w:color w:val="auto"/>
              </w:rPr>
            </w:pPr>
          </w:p>
        </w:tc>
        <w:tc>
          <w:tcPr>
            <w:tcW w:w="10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4.00</w:t>
            </w:r>
          </w:p>
        </w:tc>
        <w:tc>
          <w:tcPr>
            <w:tcW w:w="16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80" w:type="dxa"/>
            <w:vAlign w:val="bottom"/>
          </w:tcPr>
          <w:p>
            <w:pPr>
              <w:spacing w:after="0"/>
              <w:rPr>
                <w:sz w:val="18"/>
                <w:szCs w:val="18"/>
                <w:color w:val="auto"/>
              </w:rPr>
            </w:pPr>
          </w:p>
        </w:tc>
        <w:tc>
          <w:tcPr>
            <w:tcW w:w="166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4.08</w:t>
            </w:r>
          </w:p>
        </w:tc>
        <w:tc>
          <w:tcPr>
            <w:tcW w:w="126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4.16</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0.08</w:t>
            </w:r>
          </w:p>
        </w:tc>
      </w:tr>
      <w:tr>
        <w:trPr>
          <w:trHeight w:val="216"/>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15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4.00</w:t>
            </w:r>
          </w:p>
        </w:tc>
        <w:tc>
          <w:tcPr>
            <w:tcW w:w="1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3.92</w:t>
            </w:r>
          </w:p>
        </w:tc>
        <w:tc>
          <w:tcPr>
            <w:tcW w:w="16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(0.08)</w:t>
            </w:r>
          </w:p>
        </w:tc>
        <w:tc>
          <w:tcPr>
            <w:tcW w:w="166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4.08</w:t>
            </w:r>
          </w:p>
        </w:tc>
        <w:tc>
          <w:tcPr>
            <w:tcW w:w="126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4.16</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0.08</w:t>
            </w:r>
          </w:p>
        </w:tc>
      </w:tr>
      <w:tr>
        <w:trPr>
          <w:trHeight w:val="243"/>
        </w:trPr>
        <w:tc>
          <w:tcPr>
            <w:tcW w:w="3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5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1,286,795</w:t>
            </w:r>
          </w:p>
        </w:tc>
        <w:tc>
          <w:tcPr>
            <w:tcW w:w="1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1,278,324</w:t>
            </w:r>
          </w:p>
        </w:tc>
        <w:tc>
          <w:tcPr>
            <w:tcW w:w="16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(8,471)</w:t>
            </w:r>
          </w:p>
        </w:tc>
        <w:tc>
          <w:tcPr>
            <w:tcW w:w="166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1,302,641</w:t>
            </w:r>
          </w:p>
        </w:tc>
        <w:tc>
          <w:tcPr>
            <w:tcW w:w="126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1,314,284</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11,643</w:t>
            </w:r>
          </w:p>
        </w:tc>
      </w:tr>
      <w:tr>
        <w:trPr>
          <w:trHeight w:val="216"/>
        </w:trPr>
        <w:tc>
          <w:tcPr>
            <w:tcW w:w="3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comprehensive income</w:t>
            </w:r>
          </w:p>
        </w:tc>
        <w:tc>
          <w:tcPr>
            <w:tcW w:w="15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1,269,150</w:t>
            </w:r>
          </w:p>
        </w:tc>
        <w:tc>
          <w:tcPr>
            <w:tcW w:w="180" w:type="dxa"/>
            <w:vAlign w:val="bottom"/>
          </w:tcPr>
          <w:p>
            <w:pPr>
              <w:spacing w:after="0"/>
              <w:rPr>
                <w:sz w:val="18"/>
                <w:szCs w:val="18"/>
                <w:color w:val="auto"/>
              </w:rPr>
            </w:pPr>
          </w:p>
        </w:tc>
        <w:tc>
          <w:tcPr>
            <w:tcW w:w="10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1,260,679</w:t>
            </w:r>
          </w:p>
        </w:tc>
        <w:tc>
          <w:tcPr>
            <w:tcW w:w="160" w:type="dxa"/>
            <w:vAlign w:val="bottom"/>
          </w:tcPr>
          <w:p>
            <w:pPr>
              <w:spacing w:after="0"/>
              <w:rPr>
                <w:sz w:val="18"/>
                <w:szCs w:val="18"/>
                <w:color w:val="auto"/>
              </w:rPr>
            </w:pPr>
          </w:p>
        </w:tc>
        <w:tc>
          <w:tcPr>
            <w:tcW w:w="102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(8,471)</w:t>
            </w:r>
          </w:p>
        </w:tc>
        <w:tc>
          <w:tcPr>
            <w:tcW w:w="166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1,211,645</w:t>
            </w:r>
          </w:p>
        </w:tc>
        <w:tc>
          <w:tcPr>
            <w:tcW w:w="126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1,223,288</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11,643</w:t>
            </w:r>
          </w:p>
        </w:tc>
      </w:tr>
      <w:tr>
        <w:trPr>
          <w:trHeight w:val="194"/>
        </w:trPr>
        <w:tc>
          <w:tcPr>
            <w:tcW w:w="344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Total comprehensive income attributable</w:t>
            </w:r>
          </w:p>
        </w:tc>
        <w:tc>
          <w:tcPr>
            <w:tcW w:w="2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8"/>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 the Company’s ordinary shareholders</w:t>
            </w:r>
          </w:p>
        </w:tc>
        <w:tc>
          <w:tcPr>
            <w:tcW w:w="15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1,269,150</w:t>
            </w:r>
          </w:p>
        </w:tc>
        <w:tc>
          <w:tcPr>
            <w:tcW w:w="180" w:type="dxa"/>
            <w:vAlign w:val="bottom"/>
            <w:shd w:val="clear" w:color="auto" w:fill="CCEEFF"/>
          </w:tcPr>
          <w:p>
            <w:pPr>
              <w:spacing w:after="0"/>
              <w:rPr>
                <w:sz w:val="20"/>
                <w:szCs w:val="20"/>
                <w:color w:val="auto"/>
              </w:rPr>
            </w:pPr>
          </w:p>
        </w:tc>
        <w:tc>
          <w:tcPr>
            <w:tcW w:w="10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1,260,679</w:t>
            </w:r>
          </w:p>
        </w:tc>
        <w:tc>
          <w:tcPr>
            <w:tcW w:w="160" w:type="dxa"/>
            <w:vAlign w:val="bottom"/>
            <w:shd w:val="clear" w:color="auto" w:fill="CCEEFF"/>
          </w:tcPr>
          <w:p>
            <w:pPr>
              <w:spacing w:after="0"/>
              <w:rPr>
                <w:sz w:val="20"/>
                <w:szCs w:val="20"/>
                <w:color w:val="auto"/>
              </w:rPr>
            </w:pPr>
          </w:p>
        </w:tc>
        <w:tc>
          <w:tcPr>
            <w:tcW w:w="102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(8,471)</w:t>
            </w:r>
          </w:p>
        </w:tc>
        <w:tc>
          <w:tcPr>
            <w:tcW w:w="166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1,211,645</w:t>
            </w:r>
          </w:p>
        </w:tc>
        <w:tc>
          <w:tcPr>
            <w:tcW w:w="126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1,223,288</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11,643</w:t>
            </w:r>
          </w:p>
        </w:tc>
      </w:tr>
      <w:tr>
        <w:trPr>
          <w:trHeight w:val="378"/>
        </w:trPr>
        <w:tc>
          <w:tcPr>
            <w:tcW w:w="3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20" w:type="dxa"/>
            <w:vAlign w:val="bottom"/>
            <w:gridSpan w:val="11"/>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 2025</w:t>
            </w:r>
          </w:p>
        </w:tc>
        <w:tc>
          <w:tcPr>
            <w:tcW w:w="20" w:type="dxa"/>
            <w:vAlign w:val="bottom"/>
          </w:tcPr>
          <w:p>
            <w:pPr>
              <w:spacing w:after="0"/>
              <w:rPr>
                <w:sz w:val="24"/>
                <w:szCs w:val="24"/>
                <w:color w:val="auto"/>
              </w:rPr>
            </w:pPr>
          </w:p>
        </w:tc>
        <w:tc>
          <w:tcPr>
            <w:tcW w:w="3840" w:type="dxa"/>
            <w:vAlign w:val="bottom"/>
            <w:gridSpan w:val="9"/>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 2024</w:t>
            </w:r>
          </w:p>
        </w:tc>
      </w:tr>
      <w:tr>
        <w:trPr>
          <w:trHeight w:val="187"/>
        </w:trPr>
        <w:tc>
          <w:tcPr>
            <w:tcW w:w="3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3"/>
          </w:tcPr>
          <w:p>
            <w:pPr>
              <w:jc w:val="center"/>
              <w:ind w:right="18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As Reported</w:t>
            </w:r>
          </w:p>
        </w:tc>
        <w:tc>
          <w:tcPr>
            <w:tcW w:w="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40" w:type="dxa"/>
            <w:vAlign w:val="bottom"/>
            <w:tcBorders>
              <w:top w:val="single" w:sz="8" w:color="auto"/>
            </w:tcBorders>
            <w:gridSpan w:val="3"/>
          </w:tcPr>
          <w:p>
            <w:pPr>
              <w:jc w:val="center"/>
              <w:ind w:right="220"/>
              <w:spacing w:after="0" w:line="188" w:lineRule="exact"/>
              <w:rPr>
                <w:sz w:val="20"/>
                <w:szCs w:val="20"/>
                <w:color w:val="auto"/>
              </w:rPr>
            </w:pPr>
            <w:r>
              <w:rPr>
                <w:rFonts w:ascii="Times New Roman" w:cs="Times New Roman" w:eastAsia="Times New Roman" w:hAnsi="Times New Roman"/>
                <w:sz w:val="18"/>
                <w:szCs w:val="18"/>
                <w:b w:val="1"/>
                <w:bCs w:val="1"/>
                <w:color w:val="auto"/>
              </w:rPr>
              <w:t>As Previously</w:t>
            </w:r>
          </w:p>
        </w:tc>
        <w:tc>
          <w:tcPr>
            <w:tcW w:w="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3"/>
          </w:tcPr>
          <w:p>
            <w:pPr>
              <w:jc w:val="center"/>
              <w:ind w:right="2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As Adjusted</w:t>
            </w:r>
          </w:p>
        </w:tc>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3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6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As Calculated</w:t>
            </w:r>
          </w:p>
        </w:tc>
        <w:tc>
          <w:tcPr>
            <w:tcW w:w="20" w:type="dxa"/>
            <w:vAlign w:val="bottom"/>
          </w:tcPr>
          <w:p>
            <w:pPr>
              <w:spacing w:after="0"/>
              <w:rPr>
                <w:sz w:val="18"/>
                <w:szCs w:val="18"/>
                <w:color w:val="auto"/>
              </w:rPr>
            </w:pPr>
          </w:p>
        </w:tc>
        <w:tc>
          <w:tcPr>
            <w:tcW w:w="122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(Specific</w:t>
            </w: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4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Reported</w:t>
            </w:r>
          </w:p>
        </w:tc>
        <w:tc>
          <w:tcPr>
            <w:tcW w:w="20" w:type="dxa"/>
            <w:vAlign w:val="bottom"/>
          </w:tcPr>
          <w:p>
            <w:pPr>
              <w:spacing w:after="0"/>
              <w:rPr>
                <w:sz w:val="18"/>
                <w:szCs w:val="18"/>
                <w:color w:val="auto"/>
              </w:rPr>
            </w:pPr>
          </w:p>
        </w:tc>
        <w:tc>
          <w:tcPr>
            <w:tcW w:w="124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(Specific</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6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20" w:type="dxa"/>
            <w:vAlign w:val="bottom"/>
          </w:tcPr>
          <w:p>
            <w:pPr>
              <w:spacing w:after="0"/>
              <w:rPr>
                <w:sz w:val="18"/>
                <w:szCs w:val="18"/>
                <w:color w:val="auto"/>
              </w:rPr>
            </w:pPr>
          </w:p>
        </w:tc>
        <w:tc>
          <w:tcPr>
            <w:tcW w:w="12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identification</w:t>
            </w:r>
          </w:p>
        </w:tc>
        <w:tc>
          <w:tcPr>
            <w:tcW w:w="20" w:type="dxa"/>
            <w:vAlign w:val="bottom"/>
          </w:tcPr>
          <w:p>
            <w:pPr>
              <w:spacing w:after="0"/>
              <w:rPr>
                <w:sz w:val="18"/>
                <w:szCs w:val="18"/>
                <w:color w:val="auto"/>
              </w:rPr>
            </w:pPr>
          </w:p>
        </w:tc>
        <w:tc>
          <w:tcPr>
            <w:tcW w:w="100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Effect of</w:t>
            </w:r>
          </w:p>
        </w:tc>
        <w:tc>
          <w:tcPr>
            <w:tcW w:w="20" w:type="dxa"/>
            <w:vAlign w:val="bottom"/>
          </w:tcPr>
          <w:p>
            <w:pPr>
              <w:spacing w:after="0"/>
              <w:rPr>
                <w:sz w:val="18"/>
                <w:szCs w:val="18"/>
                <w:color w:val="auto"/>
              </w:rPr>
            </w:pPr>
          </w:p>
        </w:tc>
        <w:tc>
          <w:tcPr>
            <w:tcW w:w="164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(Weighted average</w:t>
            </w:r>
          </w:p>
        </w:tc>
        <w:tc>
          <w:tcPr>
            <w:tcW w:w="126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7"/>
              </w:rPr>
              <w:t>identification</w:t>
            </w: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Effect of</w:t>
            </w:r>
          </w:p>
        </w:tc>
      </w:tr>
      <w:tr>
        <w:trPr>
          <w:trHeight w:val="238"/>
        </w:trPr>
        <w:tc>
          <w:tcPr>
            <w:tcW w:w="3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6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method)</w:t>
            </w:r>
          </w:p>
        </w:tc>
        <w:tc>
          <w:tcPr>
            <w:tcW w:w="20" w:type="dxa"/>
            <w:vAlign w:val="bottom"/>
          </w:tcPr>
          <w:p>
            <w:pPr>
              <w:spacing w:after="0"/>
              <w:rPr>
                <w:sz w:val="20"/>
                <w:szCs w:val="20"/>
                <w:color w:val="auto"/>
              </w:rPr>
            </w:pPr>
          </w:p>
        </w:tc>
        <w:tc>
          <w:tcPr>
            <w:tcW w:w="122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method)</w:t>
            </w:r>
          </w:p>
        </w:tc>
        <w:tc>
          <w:tcPr>
            <w:tcW w:w="20" w:type="dxa"/>
            <w:vAlign w:val="bottom"/>
          </w:tcPr>
          <w:p>
            <w:pPr>
              <w:spacing w:after="0"/>
              <w:rPr>
                <w:sz w:val="20"/>
                <w:szCs w:val="20"/>
                <w:color w:val="auto"/>
              </w:rPr>
            </w:pPr>
          </w:p>
        </w:tc>
        <w:tc>
          <w:tcPr>
            <w:tcW w:w="100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20" w:type="dxa"/>
            <w:vAlign w:val="bottom"/>
          </w:tcPr>
          <w:p>
            <w:pPr>
              <w:spacing w:after="0"/>
              <w:rPr>
                <w:sz w:val="20"/>
                <w:szCs w:val="20"/>
                <w:color w:val="auto"/>
              </w:rPr>
            </w:pPr>
          </w:p>
        </w:tc>
        <w:tc>
          <w:tcPr>
            <w:tcW w:w="164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method)</w:t>
            </w:r>
          </w:p>
        </w:tc>
        <w:tc>
          <w:tcPr>
            <w:tcW w:w="20" w:type="dxa"/>
            <w:vAlign w:val="bottom"/>
          </w:tcPr>
          <w:p>
            <w:pPr>
              <w:spacing w:after="0"/>
              <w:rPr>
                <w:sz w:val="20"/>
                <w:szCs w:val="20"/>
                <w:color w:val="auto"/>
              </w:rPr>
            </w:pPr>
          </w:p>
        </w:tc>
        <w:tc>
          <w:tcPr>
            <w:tcW w:w="124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method)</w:t>
            </w: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10"/>
        </w:trPr>
        <w:tc>
          <w:tcPr>
            <w:tcW w:w="3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80" w:type="dxa"/>
            <w:vAlign w:val="bottom"/>
            <w:tcBorders>
              <w:top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tcBorders>
              <w:top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200" w:type="dxa"/>
            <w:vAlign w:val="bottom"/>
            <w:gridSpan w:val="2"/>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200" w:type="dxa"/>
            <w:vAlign w:val="bottom"/>
            <w:gridSpan w:val="2"/>
          </w:tcPr>
          <w:p>
            <w:pPr>
              <w:spacing w:after="0"/>
              <w:rPr>
                <w:sz w:val="18"/>
                <w:szCs w:val="18"/>
                <w:color w:val="auto"/>
              </w:rPr>
            </w:pPr>
          </w:p>
        </w:tc>
        <w:tc>
          <w:tcPr>
            <w:tcW w:w="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100" w:type="dxa"/>
            <w:vAlign w:val="bottom"/>
          </w:tcPr>
          <w:p>
            <w:pPr>
              <w:spacing w:after="0"/>
              <w:rPr>
                <w:sz w:val="18"/>
                <w:szCs w:val="18"/>
                <w:color w:val="auto"/>
              </w:rPr>
            </w:pPr>
          </w:p>
        </w:tc>
      </w:tr>
      <w:tr>
        <w:trPr>
          <w:trHeight w:val="216"/>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materials</w:t>
            </w:r>
          </w:p>
        </w:tc>
        <w:tc>
          <w:tcPr>
            <w:tcW w:w="168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(13,702,071)</w:t>
            </w:r>
          </w:p>
        </w:tc>
        <w:tc>
          <w:tcPr>
            <w:tcW w:w="124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(13,675,678)</w:t>
            </w:r>
          </w:p>
        </w:tc>
        <w:tc>
          <w:tcPr>
            <w:tcW w:w="102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26,393</w:t>
            </w:r>
          </w:p>
        </w:tc>
        <w:tc>
          <w:tcPr>
            <w:tcW w:w="166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(10,268,106)</w:t>
            </w:r>
          </w:p>
        </w:tc>
        <w:tc>
          <w:tcPr>
            <w:tcW w:w="126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(10,248,842)</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19,264</w:t>
            </w:r>
          </w:p>
        </w:tc>
      </w:tr>
      <w:tr>
        <w:trPr>
          <w:trHeight w:val="216"/>
        </w:trPr>
        <w:tc>
          <w:tcPr>
            <w:tcW w:w="3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68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(32,286,161)</w:t>
            </w:r>
          </w:p>
        </w:tc>
        <w:tc>
          <w:tcPr>
            <w:tcW w:w="124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(32,259,768)</w:t>
            </w:r>
          </w:p>
        </w:tc>
        <w:tc>
          <w:tcPr>
            <w:tcW w:w="102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26,393</w:t>
            </w:r>
          </w:p>
        </w:tc>
        <w:tc>
          <w:tcPr>
            <w:tcW w:w="166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(22,318,490)</w:t>
            </w:r>
          </w:p>
        </w:tc>
        <w:tc>
          <w:tcPr>
            <w:tcW w:w="126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(22,299,226)</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19,264</w:t>
            </w:r>
          </w:p>
        </w:tc>
      </w:tr>
      <w:tr>
        <w:trPr>
          <w:trHeight w:val="216"/>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68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4,225,101</w:t>
            </w:r>
          </w:p>
        </w:tc>
        <w:tc>
          <w:tcPr>
            <w:tcW w:w="12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4,251,494</w:t>
            </w:r>
          </w:p>
        </w:tc>
        <w:tc>
          <w:tcPr>
            <w:tcW w:w="102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26,393</w:t>
            </w:r>
          </w:p>
        </w:tc>
        <w:tc>
          <w:tcPr>
            <w:tcW w:w="14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2,543,047</w:t>
            </w:r>
          </w:p>
        </w:tc>
        <w:tc>
          <w:tcPr>
            <w:tcW w:w="1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2,562,311</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19,264</w:t>
            </w:r>
          </w:p>
        </w:tc>
      </w:tr>
      <w:tr>
        <w:trPr>
          <w:trHeight w:val="216"/>
        </w:trPr>
        <w:tc>
          <w:tcPr>
            <w:tcW w:w="3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before income taxes</w:t>
            </w:r>
          </w:p>
        </w:tc>
        <w:tc>
          <w:tcPr>
            <w:tcW w:w="168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4,405,329</w:t>
            </w:r>
          </w:p>
        </w:tc>
        <w:tc>
          <w:tcPr>
            <w:tcW w:w="124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4,431,722</w:t>
            </w:r>
          </w:p>
        </w:tc>
        <w:tc>
          <w:tcPr>
            <w:tcW w:w="102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26,393</w:t>
            </w:r>
          </w:p>
        </w:tc>
        <w:tc>
          <w:tcPr>
            <w:tcW w:w="14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2,708,616</w:t>
            </w:r>
          </w:p>
        </w:tc>
        <w:tc>
          <w:tcPr>
            <w:tcW w:w="180" w:type="dxa"/>
            <w:vAlign w:val="bottom"/>
          </w:tcPr>
          <w:p>
            <w:pPr>
              <w:spacing w:after="0"/>
              <w:rPr>
                <w:sz w:val="18"/>
                <w:szCs w:val="18"/>
                <w:color w:val="auto"/>
              </w:rPr>
            </w:pPr>
          </w:p>
        </w:tc>
        <w:tc>
          <w:tcPr>
            <w:tcW w:w="10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2,727,880</w:t>
            </w:r>
          </w:p>
        </w:tc>
        <w:tc>
          <w:tcPr>
            <w:tcW w:w="1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19,264</w:t>
            </w:r>
          </w:p>
        </w:tc>
      </w:tr>
      <w:tr>
        <w:trPr>
          <w:trHeight w:val="216"/>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68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(1,342,932)</w:t>
            </w:r>
          </w:p>
        </w:tc>
        <w:tc>
          <w:tcPr>
            <w:tcW w:w="124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(1,349,530)</w:t>
            </w:r>
          </w:p>
        </w:tc>
        <w:tc>
          <w:tcPr>
            <w:tcW w:w="102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(6,598)</w:t>
            </w:r>
          </w:p>
        </w:tc>
        <w:tc>
          <w:tcPr>
            <w:tcW w:w="166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(618,046)</w:t>
            </w:r>
          </w:p>
        </w:tc>
        <w:tc>
          <w:tcPr>
            <w:tcW w:w="126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(622,862)</w:t>
            </w: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(4,816)</w:t>
            </w:r>
          </w:p>
        </w:tc>
      </w:tr>
      <w:tr>
        <w:trPr>
          <w:trHeight w:val="216"/>
        </w:trPr>
        <w:tc>
          <w:tcPr>
            <w:tcW w:w="3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68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3,062,397</w:t>
            </w:r>
          </w:p>
        </w:tc>
        <w:tc>
          <w:tcPr>
            <w:tcW w:w="124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3,082,192</w:t>
            </w:r>
          </w:p>
        </w:tc>
        <w:tc>
          <w:tcPr>
            <w:tcW w:w="102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19,795</w:t>
            </w:r>
          </w:p>
        </w:tc>
        <w:tc>
          <w:tcPr>
            <w:tcW w:w="14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2,090,570</w:t>
            </w:r>
          </w:p>
        </w:tc>
        <w:tc>
          <w:tcPr>
            <w:tcW w:w="180" w:type="dxa"/>
            <w:vAlign w:val="bottom"/>
          </w:tcPr>
          <w:p>
            <w:pPr>
              <w:spacing w:after="0"/>
              <w:rPr>
                <w:sz w:val="18"/>
                <w:szCs w:val="18"/>
                <w:color w:val="auto"/>
              </w:rPr>
            </w:pPr>
          </w:p>
        </w:tc>
        <w:tc>
          <w:tcPr>
            <w:tcW w:w="10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2,105,018</w:t>
            </w:r>
          </w:p>
        </w:tc>
        <w:tc>
          <w:tcPr>
            <w:tcW w:w="1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14,448</w:t>
            </w:r>
          </w:p>
        </w:tc>
      </w:tr>
      <w:tr>
        <w:trPr>
          <w:trHeight w:val="194"/>
        </w:trPr>
        <w:tc>
          <w:tcPr>
            <w:tcW w:w="344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Net income attributable to the Company’s</w:t>
            </w:r>
          </w:p>
        </w:tc>
        <w:tc>
          <w:tcPr>
            <w:tcW w:w="2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8"/>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ordinary shareholders</w:t>
            </w:r>
          </w:p>
        </w:tc>
        <w:tc>
          <w:tcPr>
            <w:tcW w:w="168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3,062,397</w:t>
            </w:r>
          </w:p>
        </w:tc>
        <w:tc>
          <w:tcPr>
            <w:tcW w:w="12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3,082,192</w:t>
            </w:r>
          </w:p>
        </w:tc>
        <w:tc>
          <w:tcPr>
            <w:tcW w:w="102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19,795</w:t>
            </w:r>
          </w:p>
        </w:tc>
        <w:tc>
          <w:tcPr>
            <w:tcW w:w="14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2,090,570</w:t>
            </w:r>
          </w:p>
        </w:tc>
        <w:tc>
          <w:tcPr>
            <w:tcW w:w="180" w:type="dxa"/>
            <w:vAlign w:val="bottom"/>
            <w:shd w:val="clear" w:color="auto" w:fill="CCEEFF"/>
          </w:tcPr>
          <w:p>
            <w:pPr>
              <w:spacing w:after="0"/>
              <w:rPr>
                <w:sz w:val="20"/>
                <w:szCs w:val="20"/>
                <w:color w:val="auto"/>
              </w:rPr>
            </w:pPr>
          </w:p>
        </w:tc>
        <w:tc>
          <w:tcPr>
            <w:tcW w:w="10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2,105,018</w:t>
            </w:r>
          </w:p>
        </w:tc>
        <w:tc>
          <w:tcPr>
            <w:tcW w:w="1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14,448</w:t>
            </w:r>
          </w:p>
        </w:tc>
      </w:tr>
      <w:tr>
        <w:trPr>
          <w:trHeight w:val="243"/>
        </w:trPr>
        <w:tc>
          <w:tcPr>
            <w:tcW w:w="3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per share:</w:t>
            </w:r>
          </w:p>
        </w:tc>
        <w:tc>
          <w:tcPr>
            <w:tcW w:w="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168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1.19</w:t>
            </w:r>
          </w:p>
        </w:tc>
        <w:tc>
          <w:tcPr>
            <w:tcW w:w="12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1.20</w:t>
            </w:r>
          </w:p>
        </w:tc>
        <w:tc>
          <w:tcPr>
            <w:tcW w:w="102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0.01</w:t>
            </w:r>
          </w:p>
        </w:tc>
        <w:tc>
          <w:tcPr>
            <w:tcW w:w="14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0.82</w:t>
            </w:r>
          </w:p>
        </w:tc>
        <w:tc>
          <w:tcPr>
            <w:tcW w:w="1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0.83</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0.01</w:t>
            </w:r>
          </w:p>
        </w:tc>
      </w:tr>
      <w:tr>
        <w:trPr>
          <w:trHeight w:val="216"/>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168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1.19</w:t>
            </w:r>
          </w:p>
        </w:tc>
        <w:tc>
          <w:tcPr>
            <w:tcW w:w="124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1.19</w:t>
            </w:r>
          </w:p>
        </w:tc>
        <w:tc>
          <w:tcPr>
            <w:tcW w:w="102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0.00</w:t>
            </w:r>
          </w:p>
        </w:tc>
        <w:tc>
          <w:tcPr>
            <w:tcW w:w="14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0.82</w:t>
            </w:r>
          </w:p>
        </w:tc>
        <w:tc>
          <w:tcPr>
            <w:tcW w:w="180" w:type="dxa"/>
            <w:vAlign w:val="bottom"/>
          </w:tcPr>
          <w:p>
            <w:pPr>
              <w:spacing w:after="0"/>
              <w:rPr>
                <w:sz w:val="18"/>
                <w:szCs w:val="18"/>
                <w:color w:val="auto"/>
              </w:rPr>
            </w:pPr>
          </w:p>
        </w:tc>
        <w:tc>
          <w:tcPr>
            <w:tcW w:w="10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0.83</w:t>
            </w:r>
          </w:p>
        </w:tc>
        <w:tc>
          <w:tcPr>
            <w:tcW w:w="1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0.01</w:t>
            </w:r>
          </w:p>
        </w:tc>
      </w:tr>
      <w:tr>
        <w:trPr>
          <w:trHeight w:val="243"/>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per ADS:</w:t>
            </w:r>
          </w:p>
        </w:tc>
        <w:tc>
          <w:tcPr>
            <w:tcW w:w="2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16"/>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168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9.52</w:t>
            </w:r>
          </w:p>
        </w:tc>
        <w:tc>
          <w:tcPr>
            <w:tcW w:w="124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9.60</w:t>
            </w:r>
          </w:p>
        </w:tc>
        <w:tc>
          <w:tcPr>
            <w:tcW w:w="102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0.08</w:t>
            </w:r>
          </w:p>
        </w:tc>
        <w:tc>
          <w:tcPr>
            <w:tcW w:w="14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6.56</w:t>
            </w:r>
          </w:p>
        </w:tc>
        <w:tc>
          <w:tcPr>
            <w:tcW w:w="180" w:type="dxa"/>
            <w:vAlign w:val="bottom"/>
          </w:tcPr>
          <w:p>
            <w:pPr>
              <w:spacing w:after="0"/>
              <w:rPr>
                <w:sz w:val="18"/>
                <w:szCs w:val="18"/>
                <w:color w:val="auto"/>
              </w:rPr>
            </w:pPr>
          </w:p>
        </w:tc>
        <w:tc>
          <w:tcPr>
            <w:tcW w:w="10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6.64</w:t>
            </w:r>
          </w:p>
        </w:tc>
        <w:tc>
          <w:tcPr>
            <w:tcW w:w="1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0.08</w:t>
            </w:r>
          </w:p>
        </w:tc>
      </w:tr>
      <w:tr>
        <w:trPr>
          <w:trHeight w:val="216"/>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168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9.52</w:t>
            </w:r>
          </w:p>
        </w:tc>
        <w:tc>
          <w:tcPr>
            <w:tcW w:w="12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9.52</w:t>
            </w:r>
          </w:p>
        </w:tc>
        <w:tc>
          <w:tcPr>
            <w:tcW w:w="102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0.00</w:t>
            </w:r>
          </w:p>
        </w:tc>
        <w:tc>
          <w:tcPr>
            <w:tcW w:w="14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6.56</w:t>
            </w:r>
          </w:p>
        </w:tc>
        <w:tc>
          <w:tcPr>
            <w:tcW w:w="1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6.64</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0.08</w:t>
            </w:r>
          </w:p>
        </w:tc>
      </w:tr>
      <w:tr>
        <w:trPr>
          <w:trHeight w:val="243"/>
        </w:trPr>
        <w:tc>
          <w:tcPr>
            <w:tcW w:w="3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80" w:type="dxa"/>
            <w:vAlign w:val="bottom"/>
            <w:gridSpan w:val="2"/>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60" w:type="dxa"/>
            <w:vAlign w:val="bottom"/>
            <w:gridSpan w:val="2"/>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gridSpan w:val="2"/>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gridSpan w:val="2"/>
          </w:tcPr>
          <w:p>
            <w:pPr>
              <w:spacing w:after="0"/>
              <w:rPr>
                <w:sz w:val="21"/>
                <w:szCs w:val="21"/>
                <w:color w:val="auto"/>
              </w:rPr>
            </w:pPr>
          </w:p>
        </w:tc>
      </w:tr>
      <w:tr>
        <w:trPr>
          <w:trHeight w:val="216"/>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68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3,062,397</w:t>
            </w:r>
          </w:p>
        </w:tc>
        <w:tc>
          <w:tcPr>
            <w:tcW w:w="12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3,082,192</w:t>
            </w:r>
          </w:p>
        </w:tc>
        <w:tc>
          <w:tcPr>
            <w:tcW w:w="102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19,795</w:t>
            </w:r>
          </w:p>
        </w:tc>
        <w:tc>
          <w:tcPr>
            <w:tcW w:w="14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2,090,570</w:t>
            </w:r>
          </w:p>
        </w:tc>
        <w:tc>
          <w:tcPr>
            <w:tcW w:w="1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2,105,018</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14,448</w:t>
            </w:r>
          </w:p>
        </w:tc>
      </w:tr>
      <w:tr>
        <w:trPr>
          <w:trHeight w:val="216"/>
        </w:trPr>
        <w:tc>
          <w:tcPr>
            <w:tcW w:w="3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comprehensive income</w:t>
            </w:r>
          </w:p>
        </w:tc>
        <w:tc>
          <w:tcPr>
            <w:tcW w:w="168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3,007,658</w:t>
            </w:r>
          </w:p>
        </w:tc>
        <w:tc>
          <w:tcPr>
            <w:tcW w:w="124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3,027,453</w:t>
            </w:r>
          </w:p>
        </w:tc>
        <w:tc>
          <w:tcPr>
            <w:tcW w:w="102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19,795</w:t>
            </w:r>
          </w:p>
        </w:tc>
        <w:tc>
          <w:tcPr>
            <w:tcW w:w="14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2,028,727</w:t>
            </w:r>
          </w:p>
        </w:tc>
        <w:tc>
          <w:tcPr>
            <w:tcW w:w="180" w:type="dxa"/>
            <w:vAlign w:val="bottom"/>
          </w:tcPr>
          <w:p>
            <w:pPr>
              <w:spacing w:after="0"/>
              <w:rPr>
                <w:sz w:val="18"/>
                <w:szCs w:val="18"/>
                <w:color w:val="auto"/>
              </w:rPr>
            </w:pPr>
          </w:p>
        </w:tc>
        <w:tc>
          <w:tcPr>
            <w:tcW w:w="10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2,043,175</w:t>
            </w:r>
          </w:p>
        </w:tc>
        <w:tc>
          <w:tcPr>
            <w:tcW w:w="1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14,448</w:t>
            </w:r>
          </w:p>
        </w:tc>
      </w:tr>
      <w:tr>
        <w:trPr>
          <w:trHeight w:val="194"/>
        </w:trPr>
        <w:tc>
          <w:tcPr>
            <w:tcW w:w="344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Total comprehensive income attributable to</w:t>
            </w:r>
          </w:p>
        </w:tc>
        <w:tc>
          <w:tcPr>
            <w:tcW w:w="2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8"/>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the Company’s ordinary shareholders</w:t>
            </w:r>
          </w:p>
        </w:tc>
        <w:tc>
          <w:tcPr>
            <w:tcW w:w="168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3,007,658</w:t>
            </w:r>
          </w:p>
        </w:tc>
        <w:tc>
          <w:tcPr>
            <w:tcW w:w="12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3,027,453</w:t>
            </w:r>
          </w:p>
        </w:tc>
        <w:tc>
          <w:tcPr>
            <w:tcW w:w="102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19,795</w:t>
            </w:r>
          </w:p>
        </w:tc>
        <w:tc>
          <w:tcPr>
            <w:tcW w:w="14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2,028,727</w:t>
            </w:r>
          </w:p>
        </w:tc>
        <w:tc>
          <w:tcPr>
            <w:tcW w:w="180" w:type="dxa"/>
            <w:vAlign w:val="bottom"/>
            <w:shd w:val="clear" w:color="auto" w:fill="CCEEFF"/>
          </w:tcPr>
          <w:p>
            <w:pPr>
              <w:spacing w:after="0"/>
              <w:rPr>
                <w:sz w:val="20"/>
                <w:szCs w:val="20"/>
                <w:color w:val="auto"/>
              </w:rPr>
            </w:pPr>
          </w:p>
        </w:tc>
        <w:tc>
          <w:tcPr>
            <w:tcW w:w="10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2,043,175</w:t>
            </w:r>
          </w:p>
        </w:tc>
        <w:tc>
          <w:tcPr>
            <w:tcW w:w="1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14,448</w:t>
            </w:r>
          </w:p>
        </w:tc>
      </w:tr>
      <w:tr>
        <w:trPr>
          <w:trHeight w:val="473"/>
        </w:trPr>
        <w:tc>
          <w:tcPr>
            <w:tcW w:w="3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33" w:right="339"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920" w:type="dxa"/>
            <w:vAlign w:val="bottom"/>
            <w:gridSpan w:val="9"/>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For the three months ended June 30, 2025</w:t>
            </w:r>
          </w:p>
        </w:tc>
        <w:tc>
          <w:tcPr>
            <w:tcW w:w="20" w:type="dxa"/>
            <w:vAlign w:val="bottom"/>
          </w:tcPr>
          <w:p>
            <w:pPr>
              <w:spacing w:after="0"/>
              <w:rPr>
                <w:sz w:val="20"/>
                <w:szCs w:val="20"/>
                <w:color w:val="auto"/>
              </w:rPr>
            </w:pPr>
          </w:p>
        </w:tc>
        <w:tc>
          <w:tcPr>
            <w:tcW w:w="3840" w:type="dxa"/>
            <w:vAlign w:val="bottom"/>
            <w:gridSpan w:val="9"/>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For the three months ended June 30, 2024</w:t>
            </w:r>
          </w:p>
        </w:tc>
      </w:tr>
      <w:tr>
        <w:trPr>
          <w:trHeight w:val="187"/>
        </w:trPr>
        <w:tc>
          <w:tcPr>
            <w:tcW w:w="344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640" w:type="dxa"/>
            <w:vAlign w:val="bottom"/>
            <w:tcBorders>
              <w:top w:val="single" w:sz="8" w:color="auto"/>
            </w:tcBorders>
            <w:gridSpan w:val="3"/>
          </w:tcPr>
          <w:p>
            <w:pPr>
              <w:jc w:val="center"/>
              <w:ind w:right="240"/>
              <w:spacing w:after="0" w:line="188" w:lineRule="exact"/>
              <w:rPr>
                <w:sz w:val="20"/>
                <w:szCs w:val="20"/>
                <w:color w:val="auto"/>
              </w:rPr>
            </w:pPr>
            <w:r>
              <w:rPr>
                <w:rFonts w:ascii="Times New Roman" w:cs="Times New Roman" w:eastAsia="Times New Roman" w:hAnsi="Times New Roman"/>
                <w:sz w:val="18"/>
                <w:szCs w:val="18"/>
                <w:b w:val="1"/>
                <w:bCs w:val="1"/>
                <w:color w:val="auto"/>
                <w:w w:val="98"/>
              </w:rPr>
              <w:t>As Previously</w:t>
            </w:r>
          </w:p>
        </w:tc>
        <w:tc>
          <w:tcPr>
            <w:tcW w:w="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3"/>
          </w:tcPr>
          <w:p>
            <w:pPr>
              <w:jc w:val="center"/>
              <w:ind w:right="18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As Adjusted</w:t>
            </w:r>
          </w:p>
        </w:tc>
        <w:tc>
          <w:tcPr>
            <w:tcW w:w="82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640" w:type="dxa"/>
            <w:vAlign w:val="bottom"/>
            <w:tcBorders>
              <w:top w:val="single" w:sz="8" w:color="auto"/>
            </w:tcBorders>
            <w:gridSpan w:val="3"/>
          </w:tcPr>
          <w:p>
            <w:pPr>
              <w:jc w:val="center"/>
              <w:ind w:right="200"/>
              <w:spacing w:after="0" w:line="188" w:lineRule="exact"/>
              <w:rPr>
                <w:sz w:val="20"/>
                <w:szCs w:val="20"/>
                <w:color w:val="auto"/>
              </w:rPr>
            </w:pPr>
            <w:r>
              <w:rPr>
                <w:rFonts w:ascii="Times New Roman" w:cs="Times New Roman" w:eastAsia="Times New Roman" w:hAnsi="Times New Roman"/>
                <w:sz w:val="18"/>
                <w:szCs w:val="18"/>
                <w:b w:val="1"/>
                <w:bCs w:val="1"/>
                <w:color w:val="auto"/>
                <w:w w:val="98"/>
              </w:rPr>
              <w:t>As Previously</w:t>
            </w:r>
          </w:p>
        </w:tc>
        <w:tc>
          <w:tcPr>
            <w:tcW w:w="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3"/>
          </w:tcPr>
          <w:p>
            <w:pPr>
              <w:jc w:val="center"/>
              <w:ind w:right="2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As Adjusted</w:t>
            </w:r>
          </w:p>
        </w:tc>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3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4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Reported</w:t>
            </w:r>
          </w:p>
        </w:tc>
        <w:tc>
          <w:tcPr>
            <w:tcW w:w="20" w:type="dxa"/>
            <w:vAlign w:val="bottom"/>
          </w:tcPr>
          <w:p>
            <w:pPr>
              <w:spacing w:after="0"/>
              <w:rPr>
                <w:sz w:val="18"/>
                <w:szCs w:val="18"/>
                <w:color w:val="auto"/>
              </w:rPr>
            </w:pPr>
          </w:p>
        </w:tc>
        <w:tc>
          <w:tcPr>
            <w:tcW w:w="12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(Specific</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4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Reported</w:t>
            </w:r>
          </w:p>
        </w:tc>
        <w:tc>
          <w:tcPr>
            <w:tcW w:w="20" w:type="dxa"/>
            <w:vAlign w:val="bottom"/>
          </w:tcPr>
          <w:p>
            <w:pPr>
              <w:spacing w:after="0"/>
              <w:rPr>
                <w:sz w:val="18"/>
                <w:szCs w:val="18"/>
                <w:color w:val="auto"/>
              </w:rPr>
            </w:pPr>
          </w:p>
        </w:tc>
        <w:tc>
          <w:tcPr>
            <w:tcW w:w="12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(Specific</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40" w:type="dxa"/>
            <w:vAlign w:val="bottom"/>
          </w:tcPr>
          <w:p>
            <w:pPr>
              <w:spacing w:after="0"/>
              <w:rPr>
                <w:sz w:val="18"/>
                <w:szCs w:val="18"/>
                <w:color w:val="auto"/>
              </w:rPr>
            </w:pPr>
          </w:p>
        </w:tc>
        <w:tc>
          <w:tcPr>
            <w:tcW w:w="166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(Weighted average</w:t>
            </w:r>
          </w:p>
        </w:tc>
        <w:tc>
          <w:tcPr>
            <w:tcW w:w="20" w:type="dxa"/>
            <w:vAlign w:val="bottom"/>
          </w:tcPr>
          <w:p>
            <w:pPr>
              <w:spacing w:after="0"/>
              <w:rPr>
                <w:sz w:val="18"/>
                <w:szCs w:val="18"/>
                <w:color w:val="auto"/>
              </w:rPr>
            </w:pPr>
          </w:p>
        </w:tc>
        <w:tc>
          <w:tcPr>
            <w:tcW w:w="12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identification</w:t>
            </w: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Effect of</w:t>
            </w:r>
          </w:p>
        </w:tc>
        <w:tc>
          <w:tcPr>
            <w:tcW w:w="166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(Weighted average</w:t>
            </w:r>
          </w:p>
        </w:tc>
        <w:tc>
          <w:tcPr>
            <w:tcW w:w="20" w:type="dxa"/>
            <w:vAlign w:val="bottom"/>
          </w:tcPr>
          <w:p>
            <w:pPr>
              <w:spacing w:after="0"/>
              <w:rPr>
                <w:sz w:val="18"/>
                <w:szCs w:val="18"/>
                <w:color w:val="auto"/>
              </w:rPr>
            </w:pPr>
          </w:p>
        </w:tc>
        <w:tc>
          <w:tcPr>
            <w:tcW w:w="12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identification</w:t>
            </w: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Effect of</w:t>
            </w:r>
          </w:p>
        </w:tc>
      </w:tr>
      <w:tr>
        <w:trPr>
          <w:trHeight w:val="238"/>
        </w:trPr>
        <w:tc>
          <w:tcPr>
            <w:tcW w:w="3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4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method)</w:t>
            </w:r>
          </w:p>
        </w:tc>
        <w:tc>
          <w:tcPr>
            <w:tcW w:w="20" w:type="dxa"/>
            <w:vAlign w:val="bottom"/>
          </w:tcPr>
          <w:p>
            <w:pPr>
              <w:spacing w:after="0"/>
              <w:rPr>
                <w:sz w:val="20"/>
                <w:szCs w:val="20"/>
                <w:color w:val="auto"/>
              </w:rPr>
            </w:pPr>
          </w:p>
        </w:tc>
        <w:tc>
          <w:tcPr>
            <w:tcW w:w="124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method)</w:t>
            </w: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0" w:type="dxa"/>
            <w:vAlign w:val="bottom"/>
          </w:tcPr>
          <w:p>
            <w:pPr>
              <w:spacing w:after="0"/>
              <w:rPr>
                <w:sz w:val="20"/>
                <w:szCs w:val="20"/>
                <w:color w:val="auto"/>
              </w:rPr>
            </w:pPr>
          </w:p>
        </w:tc>
        <w:tc>
          <w:tcPr>
            <w:tcW w:w="164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method)</w:t>
            </w:r>
          </w:p>
        </w:tc>
        <w:tc>
          <w:tcPr>
            <w:tcW w:w="20" w:type="dxa"/>
            <w:vAlign w:val="bottom"/>
          </w:tcPr>
          <w:p>
            <w:pPr>
              <w:spacing w:after="0"/>
              <w:rPr>
                <w:sz w:val="20"/>
                <w:szCs w:val="20"/>
                <w:color w:val="auto"/>
              </w:rPr>
            </w:pPr>
          </w:p>
        </w:tc>
        <w:tc>
          <w:tcPr>
            <w:tcW w:w="124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method)</w:t>
            </w: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09"/>
        </w:trPr>
        <w:tc>
          <w:tcPr>
            <w:tcW w:w="344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180" w:type="dxa"/>
            <w:vAlign w:val="bottom"/>
          </w:tcPr>
          <w:p>
            <w:pPr>
              <w:spacing w:after="0"/>
              <w:rPr>
                <w:sz w:val="18"/>
                <w:szCs w:val="18"/>
                <w:color w:val="auto"/>
              </w:rPr>
            </w:pPr>
          </w:p>
        </w:tc>
        <w:tc>
          <w:tcPr>
            <w:tcW w:w="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2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180" w:type="dxa"/>
            <w:vAlign w:val="bottom"/>
          </w:tcPr>
          <w:p>
            <w:pPr>
              <w:spacing w:after="0"/>
              <w:rPr>
                <w:sz w:val="18"/>
                <w:szCs w:val="18"/>
                <w:color w:val="auto"/>
              </w:rPr>
            </w:pPr>
          </w:p>
        </w:tc>
        <w:tc>
          <w:tcPr>
            <w:tcW w:w="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100" w:type="dxa"/>
            <w:vAlign w:val="bottom"/>
          </w:tcPr>
          <w:p>
            <w:pPr>
              <w:spacing w:after="0"/>
              <w:rPr>
                <w:sz w:val="18"/>
                <w:szCs w:val="18"/>
                <w:color w:val="auto"/>
              </w:rPr>
            </w:pPr>
          </w:p>
        </w:tc>
      </w:tr>
      <w:tr>
        <w:trPr>
          <w:trHeight w:val="216"/>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materials</w:t>
            </w:r>
          </w:p>
        </w:tc>
        <w:tc>
          <w:tcPr>
            <w:tcW w:w="166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(4,600,451)</w:t>
            </w:r>
          </w:p>
        </w:tc>
        <w:tc>
          <w:tcPr>
            <w:tcW w:w="126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(4,560,806)</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39,645</w:t>
            </w:r>
          </w:p>
        </w:tc>
        <w:tc>
          <w:tcPr>
            <w:tcW w:w="166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(3,368,237)</w:t>
            </w:r>
          </w:p>
        </w:tc>
        <w:tc>
          <w:tcPr>
            <w:tcW w:w="126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(3,366,507)</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1,730</w:t>
            </w:r>
          </w:p>
        </w:tc>
      </w:tr>
      <w:tr>
        <w:trPr>
          <w:trHeight w:val="216"/>
        </w:trPr>
        <w:tc>
          <w:tcPr>
            <w:tcW w:w="3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66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(10,658,655)</w:t>
            </w:r>
          </w:p>
        </w:tc>
        <w:tc>
          <w:tcPr>
            <w:tcW w:w="126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(10,619,010)</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39,645</w:t>
            </w:r>
          </w:p>
        </w:tc>
        <w:tc>
          <w:tcPr>
            <w:tcW w:w="166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(7,351,946)</w:t>
            </w:r>
          </w:p>
        </w:tc>
        <w:tc>
          <w:tcPr>
            <w:tcW w:w="126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(7,350,216)</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1,730</w:t>
            </w:r>
          </w:p>
        </w:tc>
      </w:tr>
      <w:tr>
        <w:trPr>
          <w:trHeight w:val="216"/>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66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1,700,084</w:t>
            </w:r>
          </w:p>
        </w:tc>
        <w:tc>
          <w:tcPr>
            <w:tcW w:w="126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1,739,729</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39,645</w:t>
            </w:r>
          </w:p>
        </w:tc>
        <w:tc>
          <w:tcPr>
            <w:tcW w:w="166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1,050,682</w:t>
            </w:r>
          </w:p>
        </w:tc>
        <w:tc>
          <w:tcPr>
            <w:tcW w:w="126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1,052,412</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1,730</w:t>
            </w:r>
          </w:p>
        </w:tc>
      </w:tr>
      <w:tr>
        <w:trPr>
          <w:trHeight w:val="216"/>
        </w:trPr>
        <w:tc>
          <w:tcPr>
            <w:tcW w:w="3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before income taxes</w:t>
            </w:r>
          </w:p>
        </w:tc>
        <w:tc>
          <w:tcPr>
            <w:tcW w:w="166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1,780,482</w:t>
            </w:r>
          </w:p>
        </w:tc>
        <w:tc>
          <w:tcPr>
            <w:tcW w:w="126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1,820,127</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39,645</w:t>
            </w:r>
          </w:p>
        </w:tc>
        <w:tc>
          <w:tcPr>
            <w:tcW w:w="166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1,104,279</w:t>
            </w:r>
          </w:p>
        </w:tc>
        <w:tc>
          <w:tcPr>
            <w:tcW w:w="126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1,106,009</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1,730</w:t>
            </w:r>
          </w:p>
        </w:tc>
      </w:tr>
      <w:tr>
        <w:trPr>
          <w:trHeight w:val="216"/>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66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(529,938)</w:t>
            </w:r>
          </w:p>
        </w:tc>
        <w:tc>
          <w:tcPr>
            <w:tcW w:w="126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(539,849)</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(9,911)</w:t>
            </w:r>
          </w:p>
        </w:tc>
        <w:tc>
          <w:tcPr>
            <w:tcW w:w="166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(233,176)</w:t>
            </w:r>
          </w:p>
        </w:tc>
        <w:tc>
          <w:tcPr>
            <w:tcW w:w="126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(233,609)</w:t>
            </w: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(433)</w:t>
            </w:r>
          </w:p>
        </w:tc>
      </w:tr>
      <w:tr>
        <w:trPr>
          <w:trHeight w:val="216"/>
        </w:trPr>
        <w:tc>
          <w:tcPr>
            <w:tcW w:w="3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66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1,250,544</w:t>
            </w:r>
          </w:p>
        </w:tc>
        <w:tc>
          <w:tcPr>
            <w:tcW w:w="126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1,280,278</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29,734</w:t>
            </w:r>
          </w:p>
        </w:tc>
        <w:tc>
          <w:tcPr>
            <w:tcW w:w="166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871,103</w:t>
            </w:r>
          </w:p>
        </w:tc>
        <w:tc>
          <w:tcPr>
            <w:tcW w:w="126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872,400</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1,297</w:t>
            </w:r>
          </w:p>
        </w:tc>
      </w:tr>
      <w:tr>
        <w:trPr>
          <w:trHeight w:val="194"/>
        </w:trPr>
        <w:tc>
          <w:tcPr>
            <w:tcW w:w="344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Net income attributable to the Company’s</w:t>
            </w:r>
          </w:p>
        </w:tc>
        <w:tc>
          <w:tcPr>
            <w:tcW w:w="2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8"/>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ordinary shareholders</w:t>
            </w:r>
          </w:p>
        </w:tc>
        <w:tc>
          <w:tcPr>
            <w:tcW w:w="166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1,250,544</w:t>
            </w:r>
          </w:p>
        </w:tc>
        <w:tc>
          <w:tcPr>
            <w:tcW w:w="126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1,280,278</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29,734</w:t>
            </w:r>
          </w:p>
        </w:tc>
        <w:tc>
          <w:tcPr>
            <w:tcW w:w="166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871,103</w:t>
            </w:r>
          </w:p>
        </w:tc>
        <w:tc>
          <w:tcPr>
            <w:tcW w:w="126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872,400</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1,297</w:t>
            </w:r>
          </w:p>
        </w:tc>
      </w:tr>
      <w:tr>
        <w:trPr>
          <w:trHeight w:val="243"/>
        </w:trPr>
        <w:tc>
          <w:tcPr>
            <w:tcW w:w="3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per share:</w:t>
            </w:r>
          </w:p>
        </w:tc>
        <w:tc>
          <w:tcPr>
            <w:tcW w:w="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166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0.49</w:t>
            </w:r>
          </w:p>
        </w:tc>
        <w:tc>
          <w:tcPr>
            <w:tcW w:w="126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0.50</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0.01</w:t>
            </w:r>
          </w:p>
        </w:tc>
        <w:tc>
          <w:tcPr>
            <w:tcW w:w="166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0.34</w:t>
            </w:r>
          </w:p>
        </w:tc>
        <w:tc>
          <w:tcPr>
            <w:tcW w:w="126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0.34</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0.00</w:t>
            </w:r>
          </w:p>
        </w:tc>
      </w:tr>
      <w:tr>
        <w:trPr>
          <w:trHeight w:val="216"/>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166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0.49</w:t>
            </w:r>
          </w:p>
        </w:tc>
        <w:tc>
          <w:tcPr>
            <w:tcW w:w="126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0.50</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0.01</w:t>
            </w:r>
          </w:p>
        </w:tc>
        <w:tc>
          <w:tcPr>
            <w:tcW w:w="166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0.34</w:t>
            </w:r>
          </w:p>
        </w:tc>
        <w:tc>
          <w:tcPr>
            <w:tcW w:w="126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0.34</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0.00</w:t>
            </w:r>
          </w:p>
        </w:tc>
      </w:tr>
      <w:tr>
        <w:trPr>
          <w:trHeight w:val="243"/>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per ADS:</w:t>
            </w:r>
          </w:p>
        </w:tc>
        <w:tc>
          <w:tcPr>
            <w:tcW w:w="2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16"/>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166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3.92</w:t>
            </w:r>
          </w:p>
        </w:tc>
        <w:tc>
          <w:tcPr>
            <w:tcW w:w="126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4.00</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0.08</w:t>
            </w:r>
          </w:p>
        </w:tc>
        <w:tc>
          <w:tcPr>
            <w:tcW w:w="166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2.72</w:t>
            </w:r>
          </w:p>
        </w:tc>
        <w:tc>
          <w:tcPr>
            <w:tcW w:w="126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2.72</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0.00</w:t>
            </w:r>
          </w:p>
        </w:tc>
      </w:tr>
      <w:tr>
        <w:trPr>
          <w:trHeight w:val="216"/>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166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3.92</w:t>
            </w:r>
          </w:p>
        </w:tc>
        <w:tc>
          <w:tcPr>
            <w:tcW w:w="126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4.00</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0.08</w:t>
            </w:r>
          </w:p>
        </w:tc>
        <w:tc>
          <w:tcPr>
            <w:tcW w:w="166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2.72</w:t>
            </w:r>
          </w:p>
        </w:tc>
        <w:tc>
          <w:tcPr>
            <w:tcW w:w="126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2.72</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0.00</w:t>
            </w:r>
          </w:p>
        </w:tc>
      </w:tr>
      <w:tr>
        <w:trPr>
          <w:trHeight w:val="243"/>
        </w:trPr>
        <w:tc>
          <w:tcPr>
            <w:tcW w:w="3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66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1,250,544</w:t>
            </w:r>
          </w:p>
        </w:tc>
        <w:tc>
          <w:tcPr>
            <w:tcW w:w="126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1,280,278</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29,734</w:t>
            </w:r>
          </w:p>
        </w:tc>
        <w:tc>
          <w:tcPr>
            <w:tcW w:w="166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871,103</w:t>
            </w:r>
          </w:p>
        </w:tc>
        <w:tc>
          <w:tcPr>
            <w:tcW w:w="126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872,400</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1,297</w:t>
            </w:r>
          </w:p>
        </w:tc>
      </w:tr>
      <w:tr>
        <w:trPr>
          <w:trHeight w:val="216"/>
        </w:trPr>
        <w:tc>
          <w:tcPr>
            <w:tcW w:w="3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comprehensive income</w:t>
            </w:r>
          </w:p>
        </w:tc>
        <w:tc>
          <w:tcPr>
            <w:tcW w:w="166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1,226,107</w:t>
            </w:r>
          </w:p>
        </w:tc>
        <w:tc>
          <w:tcPr>
            <w:tcW w:w="126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1,255,841</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29,734</w:t>
            </w:r>
          </w:p>
        </w:tc>
        <w:tc>
          <w:tcPr>
            <w:tcW w:w="166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888,502</w:t>
            </w:r>
          </w:p>
        </w:tc>
        <w:tc>
          <w:tcPr>
            <w:tcW w:w="126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889,799</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1,297</w:t>
            </w:r>
          </w:p>
        </w:tc>
      </w:tr>
      <w:tr>
        <w:trPr>
          <w:trHeight w:val="194"/>
        </w:trPr>
        <w:tc>
          <w:tcPr>
            <w:tcW w:w="344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Total comprehensive income attributable</w:t>
            </w:r>
          </w:p>
        </w:tc>
        <w:tc>
          <w:tcPr>
            <w:tcW w:w="2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8"/>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 the Company’s ordinary shareholders</w:t>
            </w:r>
          </w:p>
        </w:tc>
        <w:tc>
          <w:tcPr>
            <w:tcW w:w="166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1,226,107</w:t>
            </w:r>
          </w:p>
        </w:tc>
        <w:tc>
          <w:tcPr>
            <w:tcW w:w="126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1,255,841</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29,734</w:t>
            </w:r>
          </w:p>
        </w:tc>
        <w:tc>
          <w:tcPr>
            <w:tcW w:w="166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888,502</w:t>
            </w:r>
          </w:p>
        </w:tc>
        <w:tc>
          <w:tcPr>
            <w:tcW w:w="126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889,799</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1,297</w:t>
            </w:r>
          </w:p>
        </w:tc>
      </w:tr>
      <w:tr>
        <w:trPr>
          <w:trHeight w:val="445"/>
        </w:trPr>
        <w:tc>
          <w:tcPr>
            <w:tcW w:w="3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20" w:type="dxa"/>
            <w:vAlign w:val="bottom"/>
            <w:gridSpan w:val="9"/>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For the six months ended June 30, 2025</w:t>
            </w:r>
          </w:p>
        </w:tc>
        <w:tc>
          <w:tcPr>
            <w:tcW w:w="20" w:type="dxa"/>
            <w:vAlign w:val="bottom"/>
          </w:tcPr>
          <w:p>
            <w:pPr>
              <w:spacing w:after="0"/>
              <w:rPr>
                <w:sz w:val="24"/>
                <w:szCs w:val="24"/>
                <w:color w:val="auto"/>
              </w:rPr>
            </w:pPr>
          </w:p>
        </w:tc>
        <w:tc>
          <w:tcPr>
            <w:tcW w:w="3840" w:type="dxa"/>
            <w:vAlign w:val="bottom"/>
            <w:gridSpan w:val="9"/>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For the six months ended June 30, 2024</w:t>
            </w:r>
          </w:p>
        </w:tc>
      </w:tr>
      <w:tr>
        <w:trPr>
          <w:trHeight w:val="187"/>
        </w:trPr>
        <w:tc>
          <w:tcPr>
            <w:tcW w:w="3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40" w:type="dxa"/>
            <w:vAlign w:val="bottom"/>
            <w:tcBorders>
              <w:top w:val="single" w:sz="8" w:color="auto"/>
            </w:tcBorders>
            <w:gridSpan w:val="3"/>
          </w:tcPr>
          <w:p>
            <w:pPr>
              <w:jc w:val="center"/>
              <w:ind w:right="180"/>
              <w:spacing w:after="0" w:line="188" w:lineRule="exact"/>
              <w:rPr>
                <w:sz w:val="20"/>
                <w:szCs w:val="20"/>
                <w:color w:val="auto"/>
              </w:rPr>
            </w:pPr>
            <w:r>
              <w:rPr>
                <w:rFonts w:ascii="Times New Roman" w:cs="Times New Roman" w:eastAsia="Times New Roman" w:hAnsi="Times New Roman"/>
                <w:sz w:val="18"/>
                <w:szCs w:val="18"/>
                <w:b w:val="1"/>
                <w:bCs w:val="1"/>
                <w:color w:val="auto"/>
              </w:rPr>
              <w:t>As Previously</w:t>
            </w:r>
          </w:p>
        </w:tc>
        <w:tc>
          <w:tcPr>
            <w:tcW w:w="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3"/>
          </w:tcPr>
          <w:p>
            <w:pPr>
              <w:jc w:val="center"/>
              <w:ind w:right="2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As Adjusted</w:t>
            </w:r>
          </w:p>
        </w:tc>
        <w:tc>
          <w:tcPr>
            <w:tcW w:w="82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40" w:type="dxa"/>
            <w:vAlign w:val="bottom"/>
            <w:tcBorders>
              <w:top w:val="single" w:sz="8" w:color="auto"/>
            </w:tcBorders>
            <w:gridSpan w:val="3"/>
          </w:tcPr>
          <w:p>
            <w:pPr>
              <w:jc w:val="center"/>
              <w:ind w:right="260"/>
              <w:spacing w:after="0" w:line="188" w:lineRule="exact"/>
              <w:rPr>
                <w:sz w:val="20"/>
                <w:szCs w:val="20"/>
                <w:color w:val="auto"/>
              </w:rPr>
            </w:pPr>
            <w:r>
              <w:rPr>
                <w:rFonts w:ascii="Times New Roman" w:cs="Times New Roman" w:eastAsia="Times New Roman" w:hAnsi="Times New Roman"/>
                <w:sz w:val="18"/>
                <w:szCs w:val="18"/>
                <w:b w:val="1"/>
                <w:bCs w:val="1"/>
                <w:color w:val="auto"/>
              </w:rPr>
              <w:t>As Previously</w:t>
            </w:r>
          </w:p>
        </w:tc>
        <w:tc>
          <w:tcPr>
            <w:tcW w:w="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3"/>
          </w:tcPr>
          <w:p>
            <w:pPr>
              <w:jc w:val="center"/>
              <w:ind w:right="26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As Adjusted</w:t>
            </w:r>
          </w:p>
        </w:tc>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3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4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Reported</w:t>
            </w:r>
          </w:p>
        </w:tc>
        <w:tc>
          <w:tcPr>
            <w:tcW w:w="20" w:type="dxa"/>
            <w:vAlign w:val="bottom"/>
          </w:tcPr>
          <w:p>
            <w:pPr>
              <w:spacing w:after="0"/>
              <w:rPr>
                <w:sz w:val="18"/>
                <w:szCs w:val="18"/>
                <w:color w:val="auto"/>
              </w:rPr>
            </w:pPr>
          </w:p>
        </w:tc>
        <w:tc>
          <w:tcPr>
            <w:tcW w:w="124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(Specific</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4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Reported</w:t>
            </w:r>
          </w:p>
        </w:tc>
        <w:tc>
          <w:tcPr>
            <w:tcW w:w="20" w:type="dxa"/>
            <w:vAlign w:val="bottom"/>
          </w:tcPr>
          <w:p>
            <w:pPr>
              <w:spacing w:after="0"/>
              <w:rPr>
                <w:sz w:val="18"/>
                <w:szCs w:val="18"/>
                <w:color w:val="auto"/>
              </w:rPr>
            </w:pPr>
          </w:p>
        </w:tc>
        <w:tc>
          <w:tcPr>
            <w:tcW w:w="124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(Specific</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4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(Weighted average</w:t>
            </w:r>
          </w:p>
        </w:tc>
        <w:tc>
          <w:tcPr>
            <w:tcW w:w="126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7"/>
              </w:rPr>
              <w:t>identification</w:t>
            </w: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Effect of</w:t>
            </w:r>
          </w:p>
        </w:tc>
        <w:tc>
          <w:tcPr>
            <w:tcW w:w="20" w:type="dxa"/>
            <w:vAlign w:val="bottom"/>
          </w:tcPr>
          <w:p>
            <w:pPr>
              <w:spacing w:after="0"/>
              <w:rPr>
                <w:sz w:val="18"/>
                <w:szCs w:val="18"/>
                <w:color w:val="auto"/>
              </w:rPr>
            </w:pPr>
          </w:p>
        </w:tc>
        <w:tc>
          <w:tcPr>
            <w:tcW w:w="164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(Weighted average</w:t>
            </w:r>
          </w:p>
        </w:tc>
        <w:tc>
          <w:tcPr>
            <w:tcW w:w="126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7"/>
              </w:rPr>
              <w:t>identification</w:t>
            </w: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Effect of</w:t>
            </w:r>
          </w:p>
        </w:tc>
      </w:tr>
      <w:tr>
        <w:trPr>
          <w:trHeight w:val="238"/>
        </w:trPr>
        <w:tc>
          <w:tcPr>
            <w:tcW w:w="3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4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method)</w:t>
            </w:r>
          </w:p>
        </w:tc>
        <w:tc>
          <w:tcPr>
            <w:tcW w:w="20" w:type="dxa"/>
            <w:vAlign w:val="bottom"/>
          </w:tcPr>
          <w:p>
            <w:pPr>
              <w:spacing w:after="0"/>
              <w:rPr>
                <w:sz w:val="20"/>
                <w:szCs w:val="20"/>
                <w:color w:val="auto"/>
              </w:rPr>
            </w:pPr>
          </w:p>
        </w:tc>
        <w:tc>
          <w:tcPr>
            <w:tcW w:w="124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method)</w:t>
            </w: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0" w:type="dxa"/>
            <w:vAlign w:val="bottom"/>
          </w:tcPr>
          <w:p>
            <w:pPr>
              <w:spacing w:after="0"/>
              <w:rPr>
                <w:sz w:val="20"/>
                <w:szCs w:val="20"/>
                <w:color w:val="auto"/>
              </w:rPr>
            </w:pPr>
          </w:p>
        </w:tc>
        <w:tc>
          <w:tcPr>
            <w:tcW w:w="164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method)</w:t>
            </w:r>
          </w:p>
        </w:tc>
        <w:tc>
          <w:tcPr>
            <w:tcW w:w="20" w:type="dxa"/>
            <w:vAlign w:val="bottom"/>
          </w:tcPr>
          <w:p>
            <w:pPr>
              <w:spacing w:after="0"/>
              <w:rPr>
                <w:sz w:val="20"/>
                <w:szCs w:val="20"/>
                <w:color w:val="auto"/>
              </w:rPr>
            </w:pPr>
          </w:p>
        </w:tc>
        <w:tc>
          <w:tcPr>
            <w:tcW w:w="124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method)</w:t>
            </w: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10"/>
        </w:trPr>
        <w:tc>
          <w:tcPr>
            <w:tcW w:w="3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200" w:type="dxa"/>
            <w:vAlign w:val="bottom"/>
            <w:gridSpan w:val="2"/>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200" w:type="dxa"/>
            <w:vAlign w:val="bottom"/>
            <w:gridSpan w:val="2"/>
          </w:tcPr>
          <w:p>
            <w:pPr>
              <w:spacing w:after="0"/>
              <w:rPr>
                <w:sz w:val="18"/>
                <w:szCs w:val="18"/>
                <w:color w:val="auto"/>
              </w:rPr>
            </w:pPr>
          </w:p>
        </w:tc>
        <w:tc>
          <w:tcPr>
            <w:tcW w:w="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200" w:type="dxa"/>
            <w:vAlign w:val="bottom"/>
            <w:gridSpan w:val="2"/>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200" w:type="dxa"/>
            <w:vAlign w:val="bottom"/>
            <w:gridSpan w:val="2"/>
          </w:tcPr>
          <w:p>
            <w:pPr>
              <w:spacing w:after="0"/>
              <w:rPr>
                <w:sz w:val="18"/>
                <w:szCs w:val="18"/>
                <w:color w:val="auto"/>
              </w:rPr>
            </w:pPr>
          </w:p>
        </w:tc>
        <w:tc>
          <w:tcPr>
            <w:tcW w:w="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100" w:type="dxa"/>
            <w:vAlign w:val="bottom"/>
          </w:tcPr>
          <w:p>
            <w:pPr>
              <w:spacing w:after="0"/>
              <w:rPr>
                <w:sz w:val="18"/>
                <w:szCs w:val="18"/>
                <w:color w:val="auto"/>
              </w:rPr>
            </w:pPr>
          </w:p>
        </w:tc>
      </w:tr>
      <w:tr>
        <w:trPr>
          <w:trHeight w:val="216"/>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materials</w:t>
            </w:r>
          </w:p>
        </w:tc>
        <w:tc>
          <w:tcPr>
            <w:tcW w:w="166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(8,173,447)</w:t>
            </w:r>
          </w:p>
        </w:tc>
        <w:tc>
          <w:tcPr>
            <w:tcW w:w="126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(8,135,759)</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37,688</w:t>
            </w:r>
          </w:p>
        </w:tc>
        <w:tc>
          <w:tcPr>
            <w:tcW w:w="166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(6,312,667)</w:t>
            </w:r>
          </w:p>
        </w:tc>
        <w:tc>
          <w:tcPr>
            <w:tcW w:w="126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(6,308,927)</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3,740</w:t>
            </w:r>
          </w:p>
        </w:tc>
      </w:tr>
      <w:tr>
        <w:trPr>
          <w:trHeight w:val="216"/>
        </w:trPr>
        <w:tc>
          <w:tcPr>
            <w:tcW w:w="3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66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(18,786,898)</w:t>
            </w:r>
          </w:p>
        </w:tc>
        <w:tc>
          <w:tcPr>
            <w:tcW w:w="126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(18,749,210)</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37,688</w:t>
            </w:r>
          </w:p>
        </w:tc>
        <w:tc>
          <w:tcPr>
            <w:tcW w:w="166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(13,695,196)</w:t>
            </w:r>
          </w:p>
        </w:tc>
        <w:tc>
          <w:tcPr>
            <w:tcW w:w="126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(13,691,456)</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3,740</w:t>
            </w:r>
          </w:p>
        </w:tc>
      </w:tr>
      <w:tr>
        <w:trPr>
          <w:trHeight w:val="216"/>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4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2,437,252</w:t>
            </w:r>
          </w:p>
        </w:tc>
        <w:tc>
          <w:tcPr>
            <w:tcW w:w="1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2,474,940</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37,688</w:t>
            </w:r>
          </w:p>
        </w:tc>
        <w:tc>
          <w:tcPr>
            <w:tcW w:w="14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985,575</w:t>
            </w:r>
          </w:p>
        </w:tc>
        <w:tc>
          <w:tcPr>
            <w:tcW w:w="1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989,315</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3,740</w:t>
            </w:r>
          </w:p>
        </w:tc>
      </w:tr>
      <w:tr>
        <w:trPr>
          <w:trHeight w:val="216"/>
        </w:trPr>
        <w:tc>
          <w:tcPr>
            <w:tcW w:w="3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before income taxes</w:t>
            </w:r>
          </w:p>
        </w:tc>
        <w:tc>
          <w:tcPr>
            <w:tcW w:w="14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2,555,577</w:t>
            </w:r>
          </w:p>
        </w:tc>
        <w:tc>
          <w:tcPr>
            <w:tcW w:w="180" w:type="dxa"/>
            <w:vAlign w:val="bottom"/>
          </w:tcPr>
          <w:p>
            <w:pPr>
              <w:spacing w:after="0"/>
              <w:rPr>
                <w:sz w:val="18"/>
                <w:szCs w:val="18"/>
                <w:color w:val="auto"/>
              </w:rPr>
            </w:pPr>
          </w:p>
        </w:tc>
        <w:tc>
          <w:tcPr>
            <w:tcW w:w="10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2,593,265</w:t>
            </w:r>
          </w:p>
        </w:tc>
        <w:tc>
          <w:tcPr>
            <w:tcW w:w="18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37,688</w:t>
            </w:r>
          </w:p>
        </w:tc>
        <w:tc>
          <w:tcPr>
            <w:tcW w:w="14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1,053,241</w:t>
            </w:r>
          </w:p>
        </w:tc>
        <w:tc>
          <w:tcPr>
            <w:tcW w:w="180" w:type="dxa"/>
            <w:vAlign w:val="bottom"/>
          </w:tcPr>
          <w:p>
            <w:pPr>
              <w:spacing w:after="0"/>
              <w:rPr>
                <w:sz w:val="18"/>
                <w:szCs w:val="18"/>
                <w:color w:val="auto"/>
              </w:rPr>
            </w:pPr>
          </w:p>
        </w:tc>
        <w:tc>
          <w:tcPr>
            <w:tcW w:w="10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1,056,981</w:t>
            </w:r>
          </w:p>
        </w:tc>
        <w:tc>
          <w:tcPr>
            <w:tcW w:w="1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3,740</w:t>
            </w:r>
          </w:p>
        </w:tc>
      </w:tr>
      <w:tr>
        <w:trPr>
          <w:trHeight w:val="216"/>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66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(779,975)</w:t>
            </w:r>
          </w:p>
        </w:tc>
        <w:tc>
          <w:tcPr>
            <w:tcW w:w="126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(789,397)</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(9,422)</w:t>
            </w:r>
          </w:p>
        </w:tc>
        <w:tc>
          <w:tcPr>
            <w:tcW w:w="166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(265,312)</w:t>
            </w:r>
          </w:p>
        </w:tc>
        <w:tc>
          <w:tcPr>
            <w:tcW w:w="126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(266,247)</w:t>
            </w: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(935)</w:t>
            </w:r>
          </w:p>
        </w:tc>
      </w:tr>
      <w:tr>
        <w:trPr>
          <w:trHeight w:val="216"/>
        </w:trPr>
        <w:tc>
          <w:tcPr>
            <w:tcW w:w="3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4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1,775,602</w:t>
            </w:r>
          </w:p>
        </w:tc>
        <w:tc>
          <w:tcPr>
            <w:tcW w:w="180" w:type="dxa"/>
            <w:vAlign w:val="bottom"/>
          </w:tcPr>
          <w:p>
            <w:pPr>
              <w:spacing w:after="0"/>
              <w:rPr>
                <w:sz w:val="18"/>
                <w:szCs w:val="18"/>
                <w:color w:val="auto"/>
              </w:rPr>
            </w:pPr>
          </w:p>
        </w:tc>
        <w:tc>
          <w:tcPr>
            <w:tcW w:w="10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1,803,868</w:t>
            </w:r>
          </w:p>
        </w:tc>
        <w:tc>
          <w:tcPr>
            <w:tcW w:w="18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28,266</w:t>
            </w:r>
          </w:p>
        </w:tc>
        <w:tc>
          <w:tcPr>
            <w:tcW w:w="14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787,929</w:t>
            </w:r>
          </w:p>
        </w:tc>
        <w:tc>
          <w:tcPr>
            <w:tcW w:w="180" w:type="dxa"/>
            <w:vAlign w:val="bottom"/>
          </w:tcPr>
          <w:p>
            <w:pPr>
              <w:spacing w:after="0"/>
              <w:rPr>
                <w:sz w:val="18"/>
                <w:szCs w:val="18"/>
                <w:color w:val="auto"/>
              </w:rPr>
            </w:pPr>
          </w:p>
        </w:tc>
        <w:tc>
          <w:tcPr>
            <w:tcW w:w="10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790,734</w:t>
            </w:r>
          </w:p>
        </w:tc>
        <w:tc>
          <w:tcPr>
            <w:tcW w:w="1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2,805</w:t>
            </w:r>
          </w:p>
        </w:tc>
      </w:tr>
      <w:tr>
        <w:trPr>
          <w:trHeight w:val="194"/>
        </w:trPr>
        <w:tc>
          <w:tcPr>
            <w:tcW w:w="344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Net income attributable to the Company’s</w:t>
            </w:r>
          </w:p>
        </w:tc>
        <w:tc>
          <w:tcPr>
            <w:tcW w:w="2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8"/>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ordinary shareholders</w:t>
            </w:r>
          </w:p>
        </w:tc>
        <w:tc>
          <w:tcPr>
            <w:tcW w:w="14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1,775,602</w:t>
            </w:r>
          </w:p>
        </w:tc>
        <w:tc>
          <w:tcPr>
            <w:tcW w:w="180" w:type="dxa"/>
            <w:vAlign w:val="bottom"/>
            <w:shd w:val="clear" w:color="auto" w:fill="CCEEFF"/>
          </w:tcPr>
          <w:p>
            <w:pPr>
              <w:spacing w:after="0"/>
              <w:rPr>
                <w:sz w:val="20"/>
                <w:szCs w:val="20"/>
                <w:color w:val="auto"/>
              </w:rPr>
            </w:pPr>
          </w:p>
        </w:tc>
        <w:tc>
          <w:tcPr>
            <w:tcW w:w="10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1,803,868</w:t>
            </w:r>
          </w:p>
        </w:tc>
        <w:tc>
          <w:tcPr>
            <w:tcW w:w="1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28,266</w:t>
            </w:r>
          </w:p>
        </w:tc>
        <w:tc>
          <w:tcPr>
            <w:tcW w:w="14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787,929</w:t>
            </w:r>
          </w:p>
        </w:tc>
        <w:tc>
          <w:tcPr>
            <w:tcW w:w="180" w:type="dxa"/>
            <w:vAlign w:val="bottom"/>
            <w:shd w:val="clear" w:color="auto" w:fill="CCEEFF"/>
          </w:tcPr>
          <w:p>
            <w:pPr>
              <w:spacing w:after="0"/>
              <w:rPr>
                <w:sz w:val="20"/>
                <w:szCs w:val="20"/>
                <w:color w:val="auto"/>
              </w:rPr>
            </w:pPr>
          </w:p>
        </w:tc>
        <w:tc>
          <w:tcPr>
            <w:tcW w:w="10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790,734</w:t>
            </w:r>
          </w:p>
        </w:tc>
        <w:tc>
          <w:tcPr>
            <w:tcW w:w="1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2,805</w:t>
            </w:r>
          </w:p>
        </w:tc>
      </w:tr>
      <w:tr>
        <w:trPr>
          <w:trHeight w:val="243"/>
        </w:trPr>
        <w:tc>
          <w:tcPr>
            <w:tcW w:w="3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per share:</w:t>
            </w:r>
          </w:p>
        </w:tc>
        <w:tc>
          <w:tcPr>
            <w:tcW w:w="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14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0.69</w:t>
            </w:r>
          </w:p>
        </w:tc>
        <w:tc>
          <w:tcPr>
            <w:tcW w:w="1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0.70</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0.01</w:t>
            </w:r>
          </w:p>
        </w:tc>
        <w:tc>
          <w:tcPr>
            <w:tcW w:w="14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0.31</w:t>
            </w:r>
          </w:p>
        </w:tc>
        <w:tc>
          <w:tcPr>
            <w:tcW w:w="1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0.31</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0.00</w:t>
            </w:r>
          </w:p>
        </w:tc>
      </w:tr>
      <w:tr>
        <w:trPr>
          <w:trHeight w:val="216"/>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14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0.69</w:t>
            </w:r>
          </w:p>
        </w:tc>
        <w:tc>
          <w:tcPr>
            <w:tcW w:w="180" w:type="dxa"/>
            <w:vAlign w:val="bottom"/>
          </w:tcPr>
          <w:p>
            <w:pPr>
              <w:spacing w:after="0"/>
              <w:rPr>
                <w:sz w:val="18"/>
                <w:szCs w:val="18"/>
                <w:color w:val="auto"/>
              </w:rPr>
            </w:pPr>
          </w:p>
        </w:tc>
        <w:tc>
          <w:tcPr>
            <w:tcW w:w="10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0.70</w:t>
            </w:r>
          </w:p>
        </w:tc>
        <w:tc>
          <w:tcPr>
            <w:tcW w:w="18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0.01</w:t>
            </w:r>
          </w:p>
        </w:tc>
        <w:tc>
          <w:tcPr>
            <w:tcW w:w="14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0.31</w:t>
            </w:r>
          </w:p>
        </w:tc>
        <w:tc>
          <w:tcPr>
            <w:tcW w:w="180" w:type="dxa"/>
            <w:vAlign w:val="bottom"/>
          </w:tcPr>
          <w:p>
            <w:pPr>
              <w:spacing w:after="0"/>
              <w:rPr>
                <w:sz w:val="18"/>
                <w:szCs w:val="18"/>
                <w:color w:val="auto"/>
              </w:rPr>
            </w:pPr>
          </w:p>
        </w:tc>
        <w:tc>
          <w:tcPr>
            <w:tcW w:w="10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0.31</w:t>
            </w:r>
          </w:p>
        </w:tc>
        <w:tc>
          <w:tcPr>
            <w:tcW w:w="1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0.00</w:t>
            </w:r>
          </w:p>
        </w:tc>
      </w:tr>
      <w:tr>
        <w:trPr>
          <w:trHeight w:val="243"/>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per ADS:</w:t>
            </w:r>
          </w:p>
        </w:tc>
        <w:tc>
          <w:tcPr>
            <w:tcW w:w="2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16"/>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14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5.52</w:t>
            </w:r>
          </w:p>
        </w:tc>
        <w:tc>
          <w:tcPr>
            <w:tcW w:w="180" w:type="dxa"/>
            <w:vAlign w:val="bottom"/>
          </w:tcPr>
          <w:p>
            <w:pPr>
              <w:spacing w:after="0"/>
              <w:rPr>
                <w:sz w:val="18"/>
                <w:szCs w:val="18"/>
                <w:color w:val="auto"/>
              </w:rPr>
            </w:pPr>
          </w:p>
        </w:tc>
        <w:tc>
          <w:tcPr>
            <w:tcW w:w="10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5.60</w:t>
            </w:r>
          </w:p>
        </w:tc>
        <w:tc>
          <w:tcPr>
            <w:tcW w:w="18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0.08</w:t>
            </w:r>
          </w:p>
        </w:tc>
        <w:tc>
          <w:tcPr>
            <w:tcW w:w="14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2.48</w:t>
            </w:r>
          </w:p>
        </w:tc>
        <w:tc>
          <w:tcPr>
            <w:tcW w:w="180" w:type="dxa"/>
            <w:vAlign w:val="bottom"/>
          </w:tcPr>
          <w:p>
            <w:pPr>
              <w:spacing w:after="0"/>
              <w:rPr>
                <w:sz w:val="18"/>
                <w:szCs w:val="18"/>
                <w:color w:val="auto"/>
              </w:rPr>
            </w:pPr>
          </w:p>
        </w:tc>
        <w:tc>
          <w:tcPr>
            <w:tcW w:w="10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2.48</w:t>
            </w:r>
          </w:p>
        </w:tc>
        <w:tc>
          <w:tcPr>
            <w:tcW w:w="1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0.00</w:t>
            </w:r>
          </w:p>
        </w:tc>
      </w:tr>
      <w:tr>
        <w:trPr>
          <w:trHeight w:val="216"/>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14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5.52</w:t>
            </w:r>
          </w:p>
        </w:tc>
        <w:tc>
          <w:tcPr>
            <w:tcW w:w="1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5.60</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0.08</w:t>
            </w:r>
          </w:p>
        </w:tc>
        <w:tc>
          <w:tcPr>
            <w:tcW w:w="14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2.48</w:t>
            </w:r>
          </w:p>
        </w:tc>
        <w:tc>
          <w:tcPr>
            <w:tcW w:w="1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2.48</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0.00</w:t>
            </w:r>
          </w:p>
        </w:tc>
      </w:tr>
      <w:tr>
        <w:trPr>
          <w:trHeight w:val="243"/>
        </w:trPr>
        <w:tc>
          <w:tcPr>
            <w:tcW w:w="3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gridSpan w:val="2"/>
          </w:tcPr>
          <w:p>
            <w:pPr>
              <w:spacing w:after="0"/>
              <w:rPr>
                <w:sz w:val="21"/>
                <w:szCs w:val="21"/>
                <w:color w:val="auto"/>
              </w:rPr>
            </w:pPr>
          </w:p>
        </w:tc>
        <w:tc>
          <w:tcPr>
            <w:tcW w:w="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gridSpan w:val="2"/>
          </w:tcPr>
          <w:p>
            <w:pPr>
              <w:spacing w:after="0"/>
              <w:rPr>
                <w:sz w:val="21"/>
                <w:szCs w:val="21"/>
                <w:color w:val="auto"/>
              </w:rPr>
            </w:pPr>
          </w:p>
        </w:tc>
      </w:tr>
      <w:tr>
        <w:trPr>
          <w:trHeight w:val="216"/>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4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1,775,602</w:t>
            </w:r>
          </w:p>
        </w:tc>
        <w:tc>
          <w:tcPr>
            <w:tcW w:w="1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1,803,868</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28,266</w:t>
            </w:r>
          </w:p>
        </w:tc>
        <w:tc>
          <w:tcPr>
            <w:tcW w:w="14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787,929</w:t>
            </w:r>
          </w:p>
        </w:tc>
        <w:tc>
          <w:tcPr>
            <w:tcW w:w="1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790,734</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2,805</w:t>
            </w:r>
          </w:p>
        </w:tc>
      </w:tr>
      <w:tr>
        <w:trPr>
          <w:trHeight w:val="216"/>
        </w:trPr>
        <w:tc>
          <w:tcPr>
            <w:tcW w:w="3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comprehensive income</w:t>
            </w:r>
          </w:p>
        </w:tc>
        <w:tc>
          <w:tcPr>
            <w:tcW w:w="14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1,738,508</w:t>
            </w:r>
          </w:p>
        </w:tc>
        <w:tc>
          <w:tcPr>
            <w:tcW w:w="180" w:type="dxa"/>
            <w:vAlign w:val="bottom"/>
          </w:tcPr>
          <w:p>
            <w:pPr>
              <w:spacing w:after="0"/>
              <w:rPr>
                <w:sz w:val="18"/>
                <w:szCs w:val="18"/>
                <w:color w:val="auto"/>
              </w:rPr>
            </w:pPr>
          </w:p>
        </w:tc>
        <w:tc>
          <w:tcPr>
            <w:tcW w:w="10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1,766,774</w:t>
            </w:r>
          </w:p>
        </w:tc>
        <w:tc>
          <w:tcPr>
            <w:tcW w:w="18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28,266</w:t>
            </w:r>
          </w:p>
        </w:tc>
        <w:tc>
          <w:tcPr>
            <w:tcW w:w="14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817,082</w:t>
            </w:r>
          </w:p>
        </w:tc>
        <w:tc>
          <w:tcPr>
            <w:tcW w:w="180" w:type="dxa"/>
            <w:vAlign w:val="bottom"/>
          </w:tcPr>
          <w:p>
            <w:pPr>
              <w:spacing w:after="0"/>
              <w:rPr>
                <w:sz w:val="18"/>
                <w:szCs w:val="18"/>
                <w:color w:val="auto"/>
              </w:rPr>
            </w:pPr>
          </w:p>
        </w:tc>
        <w:tc>
          <w:tcPr>
            <w:tcW w:w="10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819,887</w:t>
            </w:r>
          </w:p>
        </w:tc>
        <w:tc>
          <w:tcPr>
            <w:tcW w:w="1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2,805</w:t>
            </w:r>
          </w:p>
        </w:tc>
      </w:tr>
      <w:tr>
        <w:trPr>
          <w:trHeight w:val="194"/>
        </w:trPr>
        <w:tc>
          <w:tcPr>
            <w:tcW w:w="344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Total comprehensive income attributable to</w:t>
            </w:r>
          </w:p>
        </w:tc>
        <w:tc>
          <w:tcPr>
            <w:tcW w:w="2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8"/>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the Company’s ordinary shareholders</w:t>
            </w:r>
          </w:p>
        </w:tc>
        <w:tc>
          <w:tcPr>
            <w:tcW w:w="14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1,738,508</w:t>
            </w:r>
          </w:p>
        </w:tc>
        <w:tc>
          <w:tcPr>
            <w:tcW w:w="180" w:type="dxa"/>
            <w:vAlign w:val="bottom"/>
            <w:shd w:val="clear" w:color="auto" w:fill="CCEEFF"/>
          </w:tcPr>
          <w:p>
            <w:pPr>
              <w:spacing w:after="0"/>
              <w:rPr>
                <w:sz w:val="20"/>
                <w:szCs w:val="20"/>
                <w:color w:val="auto"/>
              </w:rPr>
            </w:pPr>
          </w:p>
        </w:tc>
        <w:tc>
          <w:tcPr>
            <w:tcW w:w="10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1,766,774</w:t>
            </w:r>
          </w:p>
        </w:tc>
        <w:tc>
          <w:tcPr>
            <w:tcW w:w="1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28,266</w:t>
            </w:r>
          </w:p>
        </w:tc>
        <w:tc>
          <w:tcPr>
            <w:tcW w:w="14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817,082</w:t>
            </w:r>
          </w:p>
        </w:tc>
        <w:tc>
          <w:tcPr>
            <w:tcW w:w="180" w:type="dxa"/>
            <w:vAlign w:val="bottom"/>
            <w:shd w:val="clear" w:color="auto" w:fill="CCEEFF"/>
          </w:tcPr>
          <w:p>
            <w:pPr>
              <w:spacing w:after="0"/>
              <w:rPr>
                <w:sz w:val="20"/>
                <w:szCs w:val="20"/>
                <w:color w:val="auto"/>
              </w:rPr>
            </w:pPr>
          </w:p>
        </w:tc>
        <w:tc>
          <w:tcPr>
            <w:tcW w:w="10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819,887</w:t>
            </w:r>
          </w:p>
        </w:tc>
        <w:tc>
          <w:tcPr>
            <w:tcW w:w="1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2,805</w:t>
            </w:r>
          </w:p>
        </w:tc>
      </w:tr>
      <w:tr>
        <w:trPr>
          <w:trHeight w:val="648"/>
        </w:trPr>
        <w:tc>
          <w:tcPr>
            <w:tcW w:w="3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06" w:right="339" w:bottom="144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0" w:type="dxa"/>
            <w:vAlign w:val="bottom"/>
            <w:gridSpan w:val="13"/>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2025</w:t>
            </w:r>
          </w:p>
        </w:tc>
        <w:tc>
          <w:tcPr>
            <w:tcW w:w="100" w:type="dxa"/>
            <w:vAlign w:val="bottom"/>
          </w:tcPr>
          <w:p>
            <w:pPr>
              <w:spacing w:after="0"/>
              <w:rPr>
                <w:sz w:val="20"/>
                <w:szCs w:val="20"/>
                <w:color w:val="auto"/>
              </w:rPr>
            </w:pPr>
          </w:p>
        </w:tc>
        <w:tc>
          <w:tcPr>
            <w:tcW w:w="3760" w:type="dxa"/>
            <w:vAlign w:val="bottom"/>
            <w:gridSpan w:val="11"/>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2024</w:t>
            </w:r>
          </w:p>
        </w:tc>
      </w:tr>
      <w:tr>
        <w:trPr>
          <w:trHeight w:val="187"/>
        </w:trPr>
        <w:tc>
          <w:tcPr>
            <w:tcW w:w="34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gridSpan w:val="3"/>
          </w:tcPr>
          <w:p>
            <w:pPr>
              <w:jc w:val="center"/>
              <w:ind w:right="340"/>
              <w:spacing w:after="0" w:line="188" w:lineRule="exact"/>
              <w:rPr>
                <w:sz w:val="20"/>
                <w:szCs w:val="20"/>
                <w:color w:val="auto"/>
              </w:rPr>
            </w:pPr>
            <w:r>
              <w:rPr>
                <w:rFonts w:ascii="Times New Roman" w:cs="Times New Roman" w:eastAsia="Times New Roman" w:hAnsi="Times New Roman"/>
                <w:sz w:val="18"/>
                <w:szCs w:val="18"/>
                <w:b w:val="1"/>
                <w:bCs w:val="1"/>
                <w:color w:val="auto"/>
                <w:w w:val="98"/>
              </w:rPr>
              <w:t>As Previously</w:t>
            </w:r>
          </w:p>
        </w:tc>
        <w:tc>
          <w:tcPr>
            <w:tcW w:w="2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gridSpan w:val="5"/>
          </w:tcPr>
          <w:p>
            <w:pPr>
              <w:jc w:val="center"/>
              <w:ind w:right="320"/>
              <w:spacing w:after="0" w:line="188" w:lineRule="exact"/>
              <w:rPr>
                <w:sz w:val="20"/>
                <w:szCs w:val="20"/>
                <w:color w:val="auto"/>
              </w:rPr>
            </w:pPr>
            <w:r>
              <w:rPr>
                <w:rFonts w:ascii="Times New Roman" w:cs="Times New Roman" w:eastAsia="Times New Roman" w:hAnsi="Times New Roman"/>
                <w:sz w:val="18"/>
                <w:szCs w:val="18"/>
                <w:b w:val="1"/>
                <w:bCs w:val="1"/>
                <w:color w:val="auto"/>
              </w:rPr>
              <w:t>As Adjusted</w:t>
            </w:r>
          </w:p>
        </w:tc>
        <w:tc>
          <w:tcPr>
            <w:tcW w:w="4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gridSpan w:val="3"/>
          </w:tcPr>
          <w:p>
            <w:pPr>
              <w:jc w:val="center"/>
              <w:ind w:right="340"/>
              <w:spacing w:after="0" w:line="188" w:lineRule="exact"/>
              <w:rPr>
                <w:sz w:val="20"/>
                <w:szCs w:val="20"/>
                <w:color w:val="auto"/>
              </w:rPr>
            </w:pPr>
            <w:r>
              <w:rPr>
                <w:rFonts w:ascii="Times New Roman" w:cs="Times New Roman" w:eastAsia="Times New Roman" w:hAnsi="Times New Roman"/>
                <w:sz w:val="18"/>
                <w:szCs w:val="18"/>
                <w:b w:val="1"/>
                <w:bCs w:val="1"/>
                <w:color w:val="auto"/>
                <w:w w:val="98"/>
              </w:rPr>
              <w:t>As Previously</w:t>
            </w:r>
          </w:p>
        </w:tc>
        <w:tc>
          <w:tcPr>
            <w:tcW w:w="1240" w:type="dxa"/>
            <w:vAlign w:val="bottom"/>
            <w:tcBorders>
              <w:top w:val="single" w:sz="8" w:color="auto"/>
            </w:tcBorders>
            <w:gridSpan w:val="4"/>
          </w:tcPr>
          <w:p>
            <w:pPr>
              <w:jc w:val="center"/>
              <w:ind w:right="2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As Adjusted</w:t>
            </w:r>
          </w:p>
        </w:tc>
        <w:tc>
          <w:tcPr>
            <w:tcW w:w="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6"/>
        </w:trPr>
        <w:tc>
          <w:tcPr>
            <w:tcW w:w="3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Reported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4"/>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(Specific</w:t>
            </w: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Reported</w:t>
            </w:r>
          </w:p>
        </w:tc>
        <w:tc>
          <w:tcPr>
            <w:tcW w:w="40" w:type="dxa"/>
            <w:vAlign w:val="bottom"/>
          </w:tcPr>
          <w:p>
            <w:pPr>
              <w:spacing w:after="0"/>
              <w:rPr>
                <w:sz w:val="18"/>
                <w:szCs w:val="18"/>
                <w:color w:val="auto"/>
              </w:rPr>
            </w:pPr>
          </w:p>
        </w:tc>
        <w:tc>
          <w:tcPr>
            <w:tcW w:w="120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(Specific</w:t>
            </w: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440" w:type="dxa"/>
            <w:vAlign w:val="bottom"/>
          </w:tcPr>
          <w:p>
            <w:pPr>
              <w:spacing w:after="0"/>
              <w:rPr>
                <w:sz w:val="18"/>
                <w:szCs w:val="18"/>
                <w:color w:val="auto"/>
              </w:rPr>
            </w:pPr>
          </w:p>
        </w:tc>
        <w:tc>
          <w:tcPr>
            <w:tcW w:w="1680" w:type="dxa"/>
            <w:vAlign w:val="bottom"/>
            <w:gridSpan w:val="4"/>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(Weighted average</w:t>
            </w:r>
          </w:p>
        </w:tc>
        <w:tc>
          <w:tcPr>
            <w:tcW w:w="1300" w:type="dxa"/>
            <w:vAlign w:val="bottom"/>
            <w:gridSpan w:val="6"/>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identification</w:t>
            </w:r>
          </w:p>
        </w:tc>
        <w:tc>
          <w:tcPr>
            <w:tcW w:w="96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Effect of</w:t>
            </w:r>
          </w:p>
        </w:tc>
        <w:tc>
          <w:tcPr>
            <w:tcW w:w="1680" w:type="dxa"/>
            <w:vAlign w:val="bottom"/>
            <w:gridSpan w:val="4"/>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(Weighted average</w:t>
            </w:r>
          </w:p>
        </w:tc>
        <w:tc>
          <w:tcPr>
            <w:tcW w:w="124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identification</w:t>
            </w:r>
          </w:p>
        </w:tc>
        <w:tc>
          <w:tcPr>
            <w:tcW w:w="20" w:type="dxa"/>
            <w:vAlign w:val="bottom"/>
          </w:tcPr>
          <w:p>
            <w:pPr>
              <w:spacing w:after="0"/>
              <w:rPr>
                <w:sz w:val="18"/>
                <w:szCs w:val="18"/>
                <w:color w:val="auto"/>
              </w:rPr>
            </w:pPr>
          </w:p>
        </w:tc>
        <w:tc>
          <w:tcPr>
            <w:tcW w:w="9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Effect of</w:t>
            </w:r>
          </w:p>
        </w:tc>
      </w:tr>
      <w:tr>
        <w:trPr>
          <w:trHeight w:val="238"/>
        </w:trPr>
        <w:tc>
          <w:tcPr>
            <w:tcW w:w="3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method)</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4"/>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method)</w:t>
            </w:r>
          </w:p>
        </w:tc>
        <w:tc>
          <w:tcPr>
            <w:tcW w:w="40" w:type="dxa"/>
            <w:vAlign w:val="bottom"/>
          </w:tcPr>
          <w:p>
            <w:pPr>
              <w:spacing w:after="0"/>
              <w:rPr>
                <w:sz w:val="20"/>
                <w:szCs w:val="20"/>
                <w:color w:val="auto"/>
              </w:rPr>
            </w:pPr>
          </w:p>
        </w:tc>
        <w:tc>
          <w:tcPr>
            <w:tcW w:w="9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0" w:type="dxa"/>
            <w:vAlign w:val="bottom"/>
          </w:tcPr>
          <w:p>
            <w:pPr>
              <w:spacing w:after="0"/>
              <w:rPr>
                <w:sz w:val="20"/>
                <w:szCs w:val="20"/>
                <w:color w:val="auto"/>
              </w:rPr>
            </w:pPr>
          </w:p>
        </w:tc>
        <w:tc>
          <w:tcPr>
            <w:tcW w:w="158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method)</w:t>
            </w:r>
          </w:p>
        </w:tc>
        <w:tc>
          <w:tcPr>
            <w:tcW w:w="40" w:type="dxa"/>
            <w:vAlign w:val="bottom"/>
          </w:tcPr>
          <w:p>
            <w:pPr>
              <w:spacing w:after="0"/>
              <w:rPr>
                <w:sz w:val="20"/>
                <w:szCs w:val="20"/>
                <w:color w:val="auto"/>
              </w:rPr>
            </w:pPr>
          </w:p>
        </w:tc>
        <w:tc>
          <w:tcPr>
            <w:tcW w:w="120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method)</w:t>
            </w:r>
          </w:p>
        </w:tc>
        <w:tc>
          <w:tcPr>
            <w:tcW w:w="20" w:type="dxa"/>
            <w:vAlign w:val="bottom"/>
          </w:tcPr>
          <w:p>
            <w:pPr>
              <w:spacing w:after="0"/>
              <w:rPr>
                <w:sz w:val="20"/>
                <w:szCs w:val="20"/>
                <w:color w:val="auto"/>
              </w:rPr>
            </w:pPr>
          </w:p>
        </w:tc>
        <w:tc>
          <w:tcPr>
            <w:tcW w:w="9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10"/>
        </w:trPr>
        <w:tc>
          <w:tcPr>
            <w:tcW w:w="34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RMB</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materials</w:t>
            </w:r>
          </w:p>
        </w:tc>
        <w:tc>
          <w:tcPr>
            <w:tcW w:w="16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(3,572,996)</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(3,574,953)</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(1,957)</w:t>
            </w:r>
          </w:p>
        </w:tc>
        <w:tc>
          <w:tcPr>
            <w:tcW w:w="100" w:type="dxa"/>
            <w:vAlign w:val="bottom"/>
            <w:shd w:val="clear" w:color="auto" w:fill="CCEEFF"/>
          </w:tcPr>
          <w:p>
            <w:pPr>
              <w:spacing w:after="0"/>
              <w:rPr>
                <w:sz w:val="18"/>
                <w:szCs w:val="18"/>
                <w:color w:val="auto"/>
              </w:rPr>
            </w:pPr>
          </w:p>
        </w:tc>
        <w:tc>
          <w:tcPr>
            <w:tcW w:w="168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(2,944,430)</w:t>
            </w:r>
          </w:p>
        </w:tc>
        <w:tc>
          <w:tcPr>
            <w:tcW w:w="124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(2,942,420)</w:t>
            </w:r>
          </w:p>
        </w:tc>
        <w:tc>
          <w:tcPr>
            <w:tcW w:w="8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2,010</w:t>
            </w:r>
          </w:p>
        </w:tc>
        <w:tc>
          <w:tcPr>
            <w:tcW w:w="80" w:type="dxa"/>
            <w:vAlign w:val="bottom"/>
            <w:shd w:val="clear" w:color="auto" w:fill="CCEEFF"/>
          </w:tcPr>
          <w:p>
            <w:pPr>
              <w:spacing w:after="0"/>
              <w:rPr>
                <w:sz w:val="18"/>
                <w:szCs w:val="18"/>
                <w:color w:val="auto"/>
              </w:rPr>
            </w:pPr>
          </w:p>
        </w:tc>
      </w:tr>
      <w:tr>
        <w:trPr>
          <w:trHeight w:val="216"/>
        </w:trPr>
        <w:tc>
          <w:tcPr>
            <w:tcW w:w="3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6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(8,128,243)</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(8,130,200)</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(1,957)</w:t>
            </w:r>
          </w:p>
        </w:tc>
        <w:tc>
          <w:tcPr>
            <w:tcW w:w="100" w:type="dxa"/>
            <w:vAlign w:val="bottom"/>
          </w:tcPr>
          <w:p>
            <w:pPr>
              <w:spacing w:after="0"/>
              <w:rPr>
                <w:sz w:val="18"/>
                <w:szCs w:val="18"/>
                <w:color w:val="auto"/>
              </w:rPr>
            </w:pPr>
          </w:p>
        </w:tc>
        <w:tc>
          <w:tcPr>
            <w:tcW w:w="168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(6,343,250)</w:t>
            </w:r>
          </w:p>
        </w:tc>
        <w:tc>
          <w:tcPr>
            <w:tcW w:w="124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(6,341,240)</w:t>
            </w:r>
          </w:p>
        </w:tc>
        <w:tc>
          <w:tcPr>
            <w:tcW w:w="8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2,010</w:t>
            </w:r>
          </w:p>
        </w:tc>
        <w:tc>
          <w:tcPr>
            <w:tcW w:w="80" w:type="dxa"/>
            <w:vAlign w:val="bottom"/>
          </w:tcPr>
          <w:p>
            <w:pPr>
              <w:spacing w:after="0"/>
              <w:rPr>
                <w:sz w:val="18"/>
                <w:szCs w:val="18"/>
                <w:color w:val="auto"/>
              </w:rPr>
            </w:pPr>
          </w:p>
        </w:tc>
      </w:tr>
      <w:tr>
        <w:trPr>
          <w:trHeight w:val="216"/>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income/(loss)</w:t>
            </w:r>
          </w:p>
        </w:tc>
        <w:tc>
          <w:tcPr>
            <w:tcW w:w="16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737,168</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735,211</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(1,957)</w:t>
            </w:r>
          </w:p>
        </w:tc>
        <w:tc>
          <w:tcPr>
            <w:tcW w:w="100" w:type="dxa"/>
            <w:vAlign w:val="bottom"/>
            <w:shd w:val="clear" w:color="auto" w:fill="CCEEFF"/>
          </w:tcPr>
          <w:p>
            <w:pPr>
              <w:spacing w:after="0"/>
              <w:rPr>
                <w:sz w:val="18"/>
                <w:szCs w:val="18"/>
                <w:color w:val="auto"/>
              </w:rPr>
            </w:pPr>
          </w:p>
        </w:tc>
        <w:tc>
          <w:tcPr>
            <w:tcW w:w="168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(65,107)</w:t>
            </w:r>
          </w:p>
        </w:tc>
        <w:tc>
          <w:tcPr>
            <w:tcW w:w="124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(63,097)</w:t>
            </w:r>
          </w:p>
        </w:tc>
        <w:tc>
          <w:tcPr>
            <w:tcW w:w="8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2,010</w:t>
            </w:r>
          </w:p>
        </w:tc>
        <w:tc>
          <w:tcPr>
            <w:tcW w:w="80" w:type="dxa"/>
            <w:vAlign w:val="bottom"/>
            <w:shd w:val="clear" w:color="auto" w:fill="CCEEFF"/>
          </w:tcPr>
          <w:p>
            <w:pPr>
              <w:spacing w:after="0"/>
              <w:rPr>
                <w:sz w:val="18"/>
                <w:szCs w:val="18"/>
                <w:color w:val="auto"/>
              </w:rPr>
            </w:pPr>
          </w:p>
        </w:tc>
      </w:tr>
      <w:tr>
        <w:trPr>
          <w:trHeight w:val="216"/>
        </w:trPr>
        <w:tc>
          <w:tcPr>
            <w:tcW w:w="3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income/(loss) before income taxes</w:t>
            </w:r>
          </w:p>
        </w:tc>
        <w:tc>
          <w:tcPr>
            <w:tcW w:w="16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775,095</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773,138</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(1,957)</w:t>
            </w:r>
          </w:p>
        </w:tc>
        <w:tc>
          <w:tcPr>
            <w:tcW w:w="100" w:type="dxa"/>
            <w:vAlign w:val="bottom"/>
          </w:tcPr>
          <w:p>
            <w:pPr>
              <w:spacing w:after="0"/>
              <w:rPr>
                <w:sz w:val="18"/>
                <w:szCs w:val="18"/>
                <w:color w:val="auto"/>
              </w:rPr>
            </w:pPr>
          </w:p>
        </w:tc>
        <w:tc>
          <w:tcPr>
            <w:tcW w:w="168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(51,038)</w:t>
            </w:r>
          </w:p>
        </w:tc>
        <w:tc>
          <w:tcPr>
            <w:tcW w:w="124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(49,028)</w:t>
            </w:r>
          </w:p>
        </w:tc>
        <w:tc>
          <w:tcPr>
            <w:tcW w:w="8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2,010</w:t>
            </w:r>
          </w:p>
        </w:tc>
        <w:tc>
          <w:tcPr>
            <w:tcW w:w="80" w:type="dxa"/>
            <w:vAlign w:val="bottom"/>
          </w:tcPr>
          <w:p>
            <w:pPr>
              <w:spacing w:after="0"/>
              <w:rPr>
                <w:sz w:val="18"/>
                <w:szCs w:val="18"/>
                <w:color w:val="auto"/>
              </w:rPr>
            </w:pPr>
          </w:p>
        </w:tc>
      </w:tr>
      <w:tr>
        <w:trPr>
          <w:trHeight w:val="216"/>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6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(250,037)</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(249,548)</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489</w:t>
            </w:r>
          </w:p>
        </w:tc>
        <w:tc>
          <w:tcPr>
            <w:tcW w:w="100" w:type="dxa"/>
            <w:vAlign w:val="bottom"/>
            <w:shd w:val="clear" w:color="auto" w:fill="CCEEFF"/>
          </w:tcPr>
          <w:p>
            <w:pPr>
              <w:spacing w:after="0"/>
              <w:rPr>
                <w:sz w:val="18"/>
                <w:szCs w:val="18"/>
                <w:color w:val="auto"/>
              </w:rPr>
            </w:pPr>
          </w:p>
        </w:tc>
        <w:tc>
          <w:tcPr>
            <w:tcW w:w="168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(32,136)</w:t>
            </w:r>
          </w:p>
        </w:tc>
        <w:tc>
          <w:tcPr>
            <w:tcW w:w="124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(32,638)</w:t>
            </w:r>
          </w:p>
        </w:tc>
        <w:tc>
          <w:tcPr>
            <w:tcW w:w="9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(502)</w:t>
            </w:r>
          </w:p>
        </w:tc>
      </w:tr>
      <w:tr>
        <w:trPr>
          <w:trHeight w:val="216"/>
        </w:trPr>
        <w:tc>
          <w:tcPr>
            <w:tcW w:w="3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income/(loss)</w:t>
            </w:r>
          </w:p>
        </w:tc>
        <w:tc>
          <w:tcPr>
            <w:tcW w:w="16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525,058</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523,590</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(1,468)</w:t>
            </w:r>
          </w:p>
        </w:tc>
        <w:tc>
          <w:tcPr>
            <w:tcW w:w="100" w:type="dxa"/>
            <w:vAlign w:val="bottom"/>
          </w:tcPr>
          <w:p>
            <w:pPr>
              <w:spacing w:after="0"/>
              <w:rPr>
                <w:sz w:val="18"/>
                <w:szCs w:val="18"/>
                <w:color w:val="auto"/>
              </w:rPr>
            </w:pPr>
          </w:p>
        </w:tc>
        <w:tc>
          <w:tcPr>
            <w:tcW w:w="168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(83,174)</w:t>
            </w:r>
          </w:p>
        </w:tc>
        <w:tc>
          <w:tcPr>
            <w:tcW w:w="124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(81,666)</w:t>
            </w:r>
          </w:p>
        </w:tc>
        <w:tc>
          <w:tcPr>
            <w:tcW w:w="8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1,508</w:t>
            </w:r>
          </w:p>
        </w:tc>
        <w:tc>
          <w:tcPr>
            <w:tcW w:w="80" w:type="dxa"/>
            <w:vAlign w:val="bottom"/>
          </w:tcPr>
          <w:p>
            <w:pPr>
              <w:spacing w:after="0"/>
              <w:rPr>
                <w:sz w:val="18"/>
                <w:szCs w:val="18"/>
                <w:color w:val="auto"/>
              </w:rPr>
            </w:pPr>
          </w:p>
        </w:tc>
      </w:tr>
      <w:tr>
        <w:trPr>
          <w:trHeight w:val="194"/>
        </w:trPr>
        <w:tc>
          <w:tcPr>
            <w:tcW w:w="344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Net income/(loss) attributable to the</w:t>
            </w:r>
          </w:p>
        </w:tc>
        <w:tc>
          <w:tcPr>
            <w:tcW w:w="14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38"/>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Company’s ordinary shareholders</w:t>
            </w:r>
          </w:p>
        </w:tc>
        <w:tc>
          <w:tcPr>
            <w:tcW w:w="16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525,058</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1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523,590</w:t>
            </w: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(1,468)</w:t>
            </w:r>
          </w:p>
        </w:tc>
        <w:tc>
          <w:tcPr>
            <w:tcW w:w="100" w:type="dxa"/>
            <w:vAlign w:val="bottom"/>
            <w:shd w:val="clear" w:color="auto" w:fill="CCEEFF"/>
          </w:tcPr>
          <w:p>
            <w:pPr>
              <w:spacing w:after="0"/>
              <w:rPr>
                <w:sz w:val="20"/>
                <w:szCs w:val="20"/>
                <w:color w:val="auto"/>
              </w:rPr>
            </w:pPr>
          </w:p>
        </w:tc>
        <w:tc>
          <w:tcPr>
            <w:tcW w:w="168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(83,174)</w:t>
            </w:r>
          </w:p>
        </w:tc>
        <w:tc>
          <w:tcPr>
            <w:tcW w:w="124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(81,666)</w:t>
            </w:r>
          </w:p>
        </w:tc>
        <w:tc>
          <w:tcPr>
            <w:tcW w:w="8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1,508</w:t>
            </w:r>
          </w:p>
        </w:tc>
        <w:tc>
          <w:tcPr>
            <w:tcW w:w="80" w:type="dxa"/>
            <w:vAlign w:val="bottom"/>
            <w:shd w:val="clear" w:color="auto" w:fill="CCEEFF"/>
          </w:tcPr>
          <w:p>
            <w:pPr>
              <w:spacing w:after="0"/>
              <w:rPr>
                <w:sz w:val="20"/>
                <w:szCs w:val="20"/>
                <w:color w:val="auto"/>
              </w:rPr>
            </w:pPr>
          </w:p>
        </w:tc>
      </w:tr>
      <w:tr>
        <w:trPr>
          <w:trHeight w:val="243"/>
        </w:trPr>
        <w:tc>
          <w:tcPr>
            <w:tcW w:w="3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income/(loss) per share:</w:t>
            </w: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6"/>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16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0.20</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0.20</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shd w:val="clear" w:color="auto" w:fill="CCEEFF"/>
          </w:tcPr>
          <w:p>
            <w:pPr>
              <w:spacing w:after="0"/>
              <w:rPr>
                <w:sz w:val="18"/>
                <w:szCs w:val="18"/>
                <w:color w:val="auto"/>
              </w:rPr>
            </w:pPr>
          </w:p>
        </w:tc>
        <w:tc>
          <w:tcPr>
            <w:tcW w:w="168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(0.03)</w:t>
            </w:r>
          </w:p>
        </w:tc>
        <w:tc>
          <w:tcPr>
            <w:tcW w:w="124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(0.03)</w:t>
            </w:r>
          </w:p>
        </w:tc>
        <w:tc>
          <w:tcPr>
            <w:tcW w:w="8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c>
          <w:tcPr>
            <w:tcW w:w="80" w:type="dxa"/>
            <w:vAlign w:val="bottom"/>
            <w:shd w:val="clear" w:color="auto" w:fill="CCEEFF"/>
          </w:tcPr>
          <w:p>
            <w:pPr>
              <w:spacing w:after="0"/>
              <w:rPr>
                <w:sz w:val="18"/>
                <w:szCs w:val="18"/>
                <w:color w:val="auto"/>
              </w:rPr>
            </w:pPr>
          </w:p>
        </w:tc>
      </w:tr>
      <w:tr>
        <w:trPr>
          <w:trHeight w:val="216"/>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16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0.20</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0.20</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tcPr>
          <w:p>
            <w:pPr>
              <w:spacing w:after="0"/>
              <w:rPr>
                <w:sz w:val="18"/>
                <w:szCs w:val="18"/>
                <w:color w:val="auto"/>
              </w:rPr>
            </w:pPr>
          </w:p>
        </w:tc>
        <w:tc>
          <w:tcPr>
            <w:tcW w:w="168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(0.03)</w:t>
            </w:r>
          </w:p>
        </w:tc>
        <w:tc>
          <w:tcPr>
            <w:tcW w:w="124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(0.03)</w:t>
            </w:r>
          </w:p>
        </w:tc>
        <w:tc>
          <w:tcPr>
            <w:tcW w:w="8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c>
          <w:tcPr>
            <w:tcW w:w="80" w:type="dxa"/>
            <w:vAlign w:val="bottom"/>
          </w:tcPr>
          <w:p>
            <w:pPr>
              <w:spacing w:after="0"/>
              <w:rPr>
                <w:sz w:val="18"/>
                <w:szCs w:val="18"/>
                <w:color w:val="auto"/>
              </w:rPr>
            </w:pPr>
          </w:p>
        </w:tc>
      </w:tr>
      <w:tr>
        <w:trPr>
          <w:trHeight w:val="243"/>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income/(loss) per ADS:</w:t>
            </w: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16"/>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16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1.60</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1.60</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tcPr>
          <w:p>
            <w:pPr>
              <w:spacing w:after="0"/>
              <w:rPr>
                <w:sz w:val="18"/>
                <w:szCs w:val="18"/>
                <w:color w:val="auto"/>
              </w:rPr>
            </w:pPr>
          </w:p>
        </w:tc>
        <w:tc>
          <w:tcPr>
            <w:tcW w:w="168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(0.24)</w:t>
            </w:r>
          </w:p>
        </w:tc>
        <w:tc>
          <w:tcPr>
            <w:tcW w:w="124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(0.24)</w:t>
            </w:r>
          </w:p>
        </w:tc>
        <w:tc>
          <w:tcPr>
            <w:tcW w:w="8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c>
          <w:tcPr>
            <w:tcW w:w="80" w:type="dxa"/>
            <w:vAlign w:val="bottom"/>
          </w:tcPr>
          <w:p>
            <w:pPr>
              <w:spacing w:after="0"/>
              <w:rPr>
                <w:sz w:val="18"/>
                <w:szCs w:val="18"/>
                <w:color w:val="auto"/>
              </w:rPr>
            </w:pPr>
          </w:p>
        </w:tc>
      </w:tr>
      <w:tr>
        <w:trPr>
          <w:trHeight w:val="216"/>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16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1.60</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1.60</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shd w:val="clear" w:color="auto" w:fill="CCEEFF"/>
          </w:tcPr>
          <w:p>
            <w:pPr>
              <w:spacing w:after="0"/>
              <w:rPr>
                <w:sz w:val="18"/>
                <w:szCs w:val="18"/>
                <w:color w:val="auto"/>
              </w:rPr>
            </w:pPr>
          </w:p>
        </w:tc>
        <w:tc>
          <w:tcPr>
            <w:tcW w:w="168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(0.24)</w:t>
            </w:r>
          </w:p>
        </w:tc>
        <w:tc>
          <w:tcPr>
            <w:tcW w:w="124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(0.24)</w:t>
            </w:r>
          </w:p>
        </w:tc>
        <w:tc>
          <w:tcPr>
            <w:tcW w:w="8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c>
          <w:tcPr>
            <w:tcW w:w="80" w:type="dxa"/>
            <w:vAlign w:val="bottom"/>
            <w:shd w:val="clear" w:color="auto" w:fill="CCEEFF"/>
          </w:tcPr>
          <w:p>
            <w:pPr>
              <w:spacing w:after="0"/>
              <w:rPr>
                <w:sz w:val="18"/>
                <w:szCs w:val="18"/>
                <w:color w:val="auto"/>
              </w:rPr>
            </w:pPr>
          </w:p>
        </w:tc>
      </w:tr>
      <w:tr>
        <w:trPr>
          <w:trHeight w:val="243"/>
        </w:trPr>
        <w:tc>
          <w:tcPr>
            <w:tcW w:w="3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6"/>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income/(loss)</w:t>
            </w:r>
          </w:p>
        </w:tc>
        <w:tc>
          <w:tcPr>
            <w:tcW w:w="16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525,058</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523,590</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(1,468)</w:t>
            </w:r>
          </w:p>
        </w:tc>
        <w:tc>
          <w:tcPr>
            <w:tcW w:w="100" w:type="dxa"/>
            <w:vAlign w:val="bottom"/>
            <w:shd w:val="clear" w:color="auto" w:fill="CCEEFF"/>
          </w:tcPr>
          <w:p>
            <w:pPr>
              <w:spacing w:after="0"/>
              <w:rPr>
                <w:sz w:val="18"/>
                <w:szCs w:val="18"/>
                <w:color w:val="auto"/>
              </w:rPr>
            </w:pPr>
          </w:p>
        </w:tc>
        <w:tc>
          <w:tcPr>
            <w:tcW w:w="168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(83,174)</w:t>
            </w:r>
          </w:p>
        </w:tc>
        <w:tc>
          <w:tcPr>
            <w:tcW w:w="124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(81,666)</w:t>
            </w:r>
          </w:p>
        </w:tc>
        <w:tc>
          <w:tcPr>
            <w:tcW w:w="8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1,508</w:t>
            </w:r>
          </w:p>
        </w:tc>
        <w:tc>
          <w:tcPr>
            <w:tcW w:w="80" w:type="dxa"/>
            <w:vAlign w:val="bottom"/>
            <w:shd w:val="clear" w:color="auto" w:fill="CCEEFF"/>
          </w:tcPr>
          <w:p>
            <w:pPr>
              <w:spacing w:after="0"/>
              <w:rPr>
                <w:sz w:val="18"/>
                <w:szCs w:val="18"/>
                <w:color w:val="auto"/>
              </w:rPr>
            </w:pPr>
          </w:p>
        </w:tc>
      </w:tr>
      <w:tr>
        <w:trPr>
          <w:trHeight w:val="216"/>
        </w:trPr>
        <w:tc>
          <w:tcPr>
            <w:tcW w:w="3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comprehensive income/(loss)</w:t>
            </w:r>
          </w:p>
        </w:tc>
        <w:tc>
          <w:tcPr>
            <w:tcW w:w="16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512,401</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510,933</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(1,468)</w:t>
            </w:r>
          </w:p>
        </w:tc>
        <w:tc>
          <w:tcPr>
            <w:tcW w:w="100" w:type="dxa"/>
            <w:vAlign w:val="bottom"/>
          </w:tcPr>
          <w:p>
            <w:pPr>
              <w:spacing w:after="0"/>
              <w:rPr>
                <w:sz w:val="18"/>
                <w:szCs w:val="18"/>
                <w:color w:val="auto"/>
              </w:rPr>
            </w:pPr>
          </w:p>
        </w:tc>
        <w:tc>
          <w:tcPr>
            <w:tcW w:w="168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(71,420)</w:t>
            </w:r>
          </w:p>
        </w:tc>
        <w:tc>
          <w:tcPr>
            <w:tcW w:w="124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(69,912)</w:t>
            </w:r>
          </w:p>
        </w:tc>
        <w:tc>
          <w:tcPr>
            <w:tcW w:w="8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1,508</w:t>
            </w:r>
          </w:p>
        </w:tc>
        <w:tc>
          <w:tcPr>
            <w:tcW w:w="80" w:type="dxa"/>
            <w:vAlign w:val="bottom"/>
          </w:tcPr>
          <w:p>
            <w:pPr>
              <w:spacing w:after="0"/>
              <w:rPr>
                <w:sz w:val="18"/>
                <w:szCs w:val="18"/>
                <w:color w:val="auto"/>
              </w:rPr>
            </w:pPr>
          </w:p>
        </w:tc>
      </w:tr>
      <w:tr>
        <w:trPr>
          <w:trHeight w:val="194"/>
        </w:trPr>
        <w:tc>
          <w:tcPr>
            <w:tcW w:w="344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Total comprehensive income/(loss)</w:t>
            </w:r>
          </w:p>
        </w:tc>
        <w:tc>
          <w:tcPr>
            <w:tcW w:w="14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16"/>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attributable to the Company’s ordinary</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8"/>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shareholders</w:t>
            </w:r>
          </w:p>
        </w:tc>
        <w:tc>
          <w:tcPr>
            <w:tcW w:w="16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512,401</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1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510,933</w:t>
            </w: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(1,468)</w:t>
            </w:r>
          </w:p>
        </w:tc>
        <w:tc>
          <w:tcPr>
            <w:tcW w:w="100" w:type="dxa"/>
            <w:vAlign w:val="bottom"/>
            <w:shd w:val="clear" w:color="auto" w:fill="CCEEFF"/>
          </w:tcPr>
          <w:p>
            <w:pPr>
              <w:spacing w:after="0"/>
              <w:rPr>
                <w:sz w:val="20"/>
                <w:szCs w:val="20"/>
                <w:color w:val="auto"/>
              </w:rPr>
            </w:pPr>
          </w:p>
        </w:tc>
        <w:tc>
          <w:tcPr>
            <w:tcW w:w="168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(71,420)</w:t>
            </w:r>
          </w:p>
        </w:tc>
        <w:tc>
          <w:tcPr>
            <w:tcW w:w="124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(69,912)</w:t>
            </w:r>
          </w:p>
        </w:tc>
        <w:tc>
          <w:tcPr>
            <w:tcW w:w="8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1,508</w:t>
            </w:r>
          </w:p>
        </w:tc>
        <w:tc>
          <w:tcPr>
            <w:tcW w:w="80" w:type="dxa"/>
            <w:vAlign w:val="bottom"/>
            <w:shd w:val="clear" w:color="auto" w:fill="CCEEFF"/>
          </w:tcPr>
          <w:p>
            <w:pPr>
              <w:spacing w:after="0"/>
              <w:rPr>
                <w:sz w:val="20"/>
                <w:szCs w:val="20"/>
                <w:color w:val="auto"/>
              </w:rPr>
            </w:pPr>
          </w:p>
        </w:tc>
      </w:tr>
      <w:tr>
        <w:trPr>
          <w:trHeight w:val="445"/>
        </w:trPr>
        <w:tc>
          <w:tcPr>
            <w:tcW w:w="3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40" w:type="dxa"/>
            <w:vAlign w:val="bottom"/>
            <w:tcBorders>
              <w:bottom w:val="single" w:sz="8" w:color="auto"/>
            </w:tcBorders>
            <w:gridSpan w:val="9"/>
          </w:tcPr>
          <w:p>
            <w:pPr>
              <w:ind w:left="880"/>
              <w:spacing w:after="0"/>
              <w:rPr>
                <w:sz w:val="20"/>
                <w:szCs w:val="20"/>
                <w:color w:val="auto"/>
              </w:rPr>
            </w:pPr>
            <w:r>
              <w:rPr>
                <w:rFonts w:ascii="Times New Roman" w:cs="Times New Roman" w:eastAsia="Times New Roman" w:hAnsi="Times New Roman"/>
                <w:sz w:val="18"/>
                <w:szCs w:val="18"/>
                <w:b w:val="1"/>
                <w:bCs w:val="1"/>
                <w:color w:val="auto"/>
                <w:w w:val="99"/>
              </w:rPr>
              <w:t>As of September 30, 2025</w:t>
            </w:r>
          </w:p>
        </w:tc>
        <w:tc>
          <w:tcPr>
            <w:tcW w:w="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20" w:type="dxa"/>
            <w:vAlign w:val="bottom"/>
            <w:tcBorders>
              <w:bottom w:val="single" w:sz="8" w:color="auto"/>
            </w:tcBorders>
            <w:gridSpan w:val="7"/>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c>
          <w:tcPr>
            <w:tcW w:w="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87"/>
        </w:trPr>
        <w:tc>
          <w:tcPr>
            <w:tcW w:w="3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4"/>
          </w:tcPr>
          <w:p>
            <w:pPr>
              <w:jc w:val="center"/>
              <w:ind w:right="14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As Reported</w:t>
            </w: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3"/>
          </w:tcPr>
          <w:p>
            <w:pPr>
              <w:jc w:val="center"/>
              <w:ind w:right="140"/>
              <w:spacing w:after="0" w:line="188" w:lineRule="exact"/>
              <w:rPr>
                <w:sz w:val="20"/>
                <w:szCs w:val="20"/>
                <w:color w:val="auto"/>
              </w:rPr>
            </w:pPr>
            <w:r>
              <w:rPr>
                <w:rFonts w:ascii="Times New Roman" w:cs="Times New Roman" w:eastAsia="Times New Roman" w:hAnsi="Times New Roman"/>
                <w:sz w:val="18"/>
                <w:szCs w:val="18"/>
                <w:b w:val="1"/>
                <w:bCs w:val="1"/>
                <w:color w:val="auto"/>
                <w:w w:val="98"/>
              </w:rPr>
              <w:t>As Previously</w:t>
            </w:r>
          </w:p>
        </w:tc>
        <w:tc>
          <w:tcPr>
            <w:tcW w:w="40" w:type="dxa"/>
            <w:vAlign w:val="bottom"/>
          </w:tcPr>
          <w:p>
            <w:pPr>
              <w:spacing w:after="0"/>
              <w:rPr>
                <w:sz w:val="16"/>
                <w:szCs w:val="16"/>
                <w:color w:val="auto"/>
              </w:rPr>
            </w:pPr>
          </w:p>
        </w:tc>
        <w:tc>
          <w:tcPr>
            <w:tcW w:w="1200" w:type="dxa"/>
            <w:vAlign w:val="bottom"/>
            <w:gridSpan w:val="3"/>
          </w:tcPr>
          <w:p>
            <w:pPr>
              <w:jc w:val="center"/>
              <w:ind w:right="160"/>
              <w:spacing w:after="0" w:line="188" w:lineRule="exact"/>
              <w:rPr>
                <w:sz w:val="20"/>
                <w:szCs w:val="20"/>
                <w:color w:val="auto"/>
              </w:rPr>
            </w:pPr>
            <w:r>
              <w:rPr>
                <w:rFonts w:ascii="Times New Roman" w:cs="Times New Roman" w:eastAsia="Times New Roman" w:hAnsi="Times New Roman"/>
                <w:sz w:val="18"/>
                <w:szCs w:val="18"/>
                <w:b w:val="1"/>
                <w:bCs w:val="1"/>
                <w:color w:val="auto"/>
              </w:rPr>
              <w:t>As Adjusted</w:t>
            </w: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6"/>
        </w:trPr>
        <w:tc>
          <w:tcPr>
            <w:tcW w:w="3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As Calculated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4"/>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(Specific</w:t>
            </w: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Reported</w:t>
            </w:r>
          </w:p>
        </w:tc>
        <w:tc>
          <w:tcPr>
            <w:tcW w:w="40" w:type="dxa"/>
            <w:vAlign w:val="bottom"/>
          </w:tcPr>
          <w:p>
            <w:pPr>
              <w:spacing w:after="0"/>
              <w:rPr>
                <w:sz w:val="18"/>
                <w:szCs w:val="18"/>
                <w:color w:val="auto"/>
              </w:rPr>
            </w:pPr>
          </w:p>
        </w:tc>
        <w:tc>
          <w:tcPr>
            <w:tcW w:w="120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6"/>
              </w:rPr>
              <w:t>(Specific</w:t>
            </w: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4"/>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identification</w:t>
            </w:r>
          </w:p>
        </w:tc>
        <w:tc>
          <w:tcPr>
            <w:tcW w:w="40" w:type="dxa"/>
            <w:vAlign w:val="bottom"/>
          </w:tcPr>
          <w:p>
            <w:pPr>
              <w:spacing w:after="0"/>
              <w:rPr>
                <w:sz w:val="18"/>
                <w:szCs w:val="18"/>
                <w:color w:val="auto"/>
              </w:rPr>
            </w:pPr>
          </w:p>
        </w:tc>
        <w:tc>
          <w:tcPr>
            <w:tcW w:w="92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Effect of</w:t>
            </w:r>
          </w:p>
        </w:tc>
        <w:tc>
          <w:tcPr>
            <w:tcW w:w="100" w:type="dxa"/>
            <w:vAlign w:val="bottom"/>
          </w:tcPr>
          <w:p>
            <w:pPr>
              <w:spacing w:after="0"/>
              <w:rPr>
                <w:sz w:val="18"/>
                <w:szCs w:val="18"/>
                <w:color w:val="auto"/>
              </w:rPr>
            </w:pPr>
          </w:p>
        </w:tc>
        <w:tc>
          <w:tcPr>
            <w:tcW w:w="158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(Weighted average</w:t>
            </w:r>
          </w:p>
        </w:tc>
        <w:tc>
          <w:tcPr>
            <w:tcW w:w="40" w:type="dxa"/>
            <w:vAlign w:val="bottom"/>
          </w:tcPr>
          <w:p>
            <w:pPr>
              <w:spacing w:after="0"/>
              <w:rPr>
                <w:sz w:val="18"/>
                <w:szCs w:val="18"/>
                <w:color w:val="auto"/>
              </w:rPr>
            </w:pPr>
          </w:p>
        </w:tc>
        <w:tc>
          <w:tcPr>
            <w:tcW w:w="120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7"/>
              </w:rPr>
              <w:t>identification</w:t>
            </w:r>
          </w:p>
        </w:tc>
        <w:tc>
          <w:tcPr>
            <w:tcW w:w="20" w:type="dxa"/>
            <w:vAlign w:val="bottom"/>
          </w:tcPr>
          <w:p>
            <w:pPr>
              <w:spacing w:after="0"/>
              <w:rPr>
                <w:sz w:val="18"/>
                <w:szCs w:val="18"/>
                <w:color w:val="auto"/>
              </w:rPr>
            </w:pPr>
          </w:p>
        </w:tc>
        <w:tc>
          <w:tcPr>
            <w:tcW w:w="9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Effect of</w:t>
            </w:r>
          </w:p>
        </w:tc>
      </w:tr>
      <w:tr>
        <w:trPr>
          <w:trHeight w:val="238"/>
        </w:trPr>
        <w:tc>
          <w:tcPr>
            <w:tcW w:w="3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method)</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4"/>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method)</w:t>
            </w:r>
          </w:p>
        </w:tc>
        <w:tc>
          <w:tcPr>
            <w:tcW w:w="40" w:type="dxa"/>
            <w:vAlign w:val="bottom"/>
          </w:tcPr>
          <w:p>
            <w:pPr>
              <w:spacing w:after="0"/>
              <w:rPr>
                <w:sz w:val="20"/>
                <w:szCs w:val="20"/>
                <w:color w:val="auto"/>
              </w:rPr>
            </w:pPr>
          </w:p>
        </w:tc>
        <w:tc>
          <w:tcPr>
            <w:tcW w:w="92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0" w:type="dxa"/>
            <w:vAlign w:val="bottom"/>
          </w:tcPr>
          <w:p>
            <w:pPr>
              <w:spacing w:after="0"/>
              <w:rPr>
                <w:sz w:val="20"/>
                <w:szCs w:val="20"/>
                <w:color w:val="auto"/>
              </w:rPr>
            </w:pPr>
          </w:p>
        </w:tc>
        <w:tc>
          <w:tcPr>
            <w:tcW w:w="158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method)</w:t>
            </w:r>
          </w:p>
        </w:tc>
        <w:tc>
          <w:tcPr>
            <w:tcW w:w="40" w:type="dxa"/>
            <w:vAlign w:val="bottom"/>
          </w:tcPr>
          <w:p>
            <w:pPr>
              <w:spacing w:after="0"/>
              <w:rPr>
                <w:sz w:val="20"/>
                <w:szCs w:val="20"/>
                <w:color w:val="auto"/>
              </w:rPr>
            </w:pPr>
          </w:p>
        </w:tc>
        <w:tc>
          <w:tcPr>
            <w:tcW w:w="120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method)</w:t>
            </w:r>
          </w:p>
        </w:tc>
        <w:tc>
          <w:tcPr>
            <w:tcW w:w="20" w:type="dxa"/>
            <w:vAlign w:val="bottom"/>
          </w:tcPr>
          <w:p>
            <w:pPr>
              <w:spacing w:after="0"/>
              <w:rPr>
                <w:sz w:val="20"/>
                <w:szCs w:val="20"/>
                <w:color w:val="auto"/>
              </w:rPr>
            </w:pPr>
          </w:p>
        </w:tc>
        <w:tc>
          <w:tcPr>
            <w:tcW w:w="9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Change</w:t>
            </w:r>
          </w:p>
        </w:tc>
      </w:tr>
      <w:tr>
        <w:trPr>
          <w:trHeight w:val="210"/>
        </w:trPr>
        <w:tc>
          <w:tcPr>
            <w:tcW w:w="3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Borders>
              <w:top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Borders>
              <w:top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14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Borders>
              <w:top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RMB</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Borders>
              <w:top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4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Borders>
              <w:top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80" w:type="dxa"/>
            <w:vAlign w:val="bottom"/>
          </w:tcPr>
          <w:p>
            <w:pPr>
              <w:spacing w:after="0"/>
              <w:rPr>
                <w:sz w:val="18"/>
                <w:szCs w:val="18"/>
                <w:color w:val="auto"/>
              </w:rPr>
            </w:pPr>
          </w:p>
        </w:tc>
      </w:tr>
      <w:tr>
        <w:trPr>
          <w:trHeight w:val="216"/>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 net</w:t>
            </w:r>
          </w:p>
        </w:tc>
        <w:tc>
          <w:tcPr>
            <w:tcW w:w="16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3,007,068</w:t>
            </w:r>
          </w:p>
        </w:tc>
        <w:tc>
          <w:tcPr>
            <w:tcW w:w="2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3,060,275</w:t>
            </w:r>
          </w:p>
        </w:tc>
        <w:tc>
          <w:tcPr>
            <w:tcW w:w="6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53,207</w:t>
            </w:r>
          </w:p>
        </w:tc>
        <w:tc>
          <w:tcPr>
            <w:tcW w:w="168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2,473,393</w:t>
            </w:r>
          </w:p>
        </w:tc>
        <w:tc>
          <w:tcPr>
            <w:tcW w:w="12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2,500,205</w:t>
            </w:r>
          </w:p>
        </w:tc>
        <w:tc>
          <w:tcPr>
            <w:tcW w:w="94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26,812</w:t>
            </w:r>
          </w:p>
        </w:tc>
      </w:tr>
      <w:tr>
        <w:trPr>
          <w:trHeight w:val="216"/>
        </w:trPr>
        <w:tc>
          <w:tcPr>
            <w:tcW w:w="3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6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14,604,326</w:t>
            </w:r>
          </w:p>
        </w:tc>
        <w:tc>
          <w:tcPr>
            <w:tcW w:w="20" w:type="dxa"/>
            <w:vAlign w:val="bottom"/>
          </w:tcPr>
          <w:p>
            <w:pPr>
              <w:spacing w:after="0"/>
              <w:rPr>
                <w:sz w:val="18"/>
                <w:szCs w:val="18"/>
                <w:color w:val="auto"/>
              </w:rPr>
            </w:pPr>
          </w:p>
        </w:tc>
        <w:tc>
          <w:tcPr>
            <w:tcW w:w="122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14,657,533</w:t>
            </w:r>
          </w:p>
        </w:tc>
        <w:tc>
          <w:tcPr>
            <w:tcW w:w="60" w:type="dxa"/>
            <w:vAlign w:val="bottom"/>
          </w:tcPr>
          <w:p>
            <w:pPr>
              <w:spacing w:after="0"/>
              <w:rPr>
                <w:sz w:val="18"/>
                <w:szCs w:val="18"/>
                <w:color w:val="auto"/>
              </w:rPr>
            </w:pPr>
          </w:p>
        </w:tc>
        <w:tc>
          <w:tcPr>
            <w:tcW w:w="96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53,207</w:t>
            </w:r>
          </w:p>
        </w:tc>
        <w:tc>
          <w:tcPr>
            <w:tcW w:w="168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10,704,787</w:t>
            </w:r>
          </w:p>
        </w:tc>
        <w:tc>
          <w:tcPr>
            <w:tcW w:w="124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10,731,599</w:t>
            </w:r>
          </w:p>
        </w:tc>
        <w:tc>
          <w:tcPr>
            <w:tcW w:w="94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26,812</w:t>
            </w:r>
          </w:p>
        </w:tc>
      </w:tr>
      <w:tr>
        <w:trPr>
          <w:trHeight w:val="216"/>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6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29,623,434</w:t>
            </w:r>
          </w:p>
        </w:tc>
        <w:tc>
          <w:tcPr>
            <w:tcW w:w="2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29,676,641</w:t>
            </w:r>
          </w:p>
        </w:tc>
        <w:tc>
          <w:tcPr>
            <w:tcW w:w="6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53,207</w:t>
            </w:r>
          </w:p>
        </w:tc>
        <w:tc>
          <w:tcPr>
            <w:tcW w:w="168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23,099,114</w:t>
            </w:r>
          </w:p>
        </w:tc>
        <w:tc>
          <w:tcPr>
            <w:tcW w:w="12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23,125,926</w:t>
            </w:r>
          </w:p>
        </w:tc>
        <w:tc>
          <w:tcPr>
            <w:tcW w:w="94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26,812</w:t>
            </w:r>
          </w:p>
        </w:tc>
      </w:tr>
      <w:tr>
        <w:trPr>
          <w:trHeight w:val="216"/>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6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4,511,032</w:t>
            </w:r>
          </w:p>
        </w:tc>
        <w:tc>
          <w:tcPr>
            <w:tcW w:w="20" w:type="dxa"/>
            <w:vAlign w:val="bottom"/>
          </w:tcPr>
          <w:p>
            <w:pPr>
              <w:spacing w:after="0"/>
              <w:rPr>
                <w:sz w:val="18"/>
                <w:szCs w:val="18"/>
                <w:color w:val="auto"/>
              </w:rPr>
            </w:pPr>
          </w:p>
        </w:tc>
        <w:tc>
          <w:tcPr>
            <w:tcW w:w="122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4,524,334</w:t>
            </w:r>
          </w:p>
        </w:tc>
        <w:tc>
          <w:tcPr>
            <w:tcW w:w="60" w:type="dxa"/>
            <w:vAlign w:val="bottom"/>
          </w:tcPr>
          <w:p>
            <w:pPr>
              <w:spacing w:after="0"/>
              <w:rPr>
                <w:sz w:val="18"/>
                <w:szCs w:val="18"/>
                <w:color w:val="auto"/>
              </w:rPr>
            </w:pPr>
          </w:p>
        </w:tc>
        <w:tc>
          <w:tcPr>
            <w:tcW w:w="96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13,302</w:t>
            </w:r>
          </w:p>
        </w:tc>
        <w:tc>
          <w:tcPr>
            <w:tcW w:w="168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3,027,503</w:t>
            </w:r>
          </w:p>
        </w:tc>
        <w:tc>
          <w:tcPr>
            <w:tcW w:w="124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3,034,205</w:t>
            </w:r>
          </w:p>
        </w:tc>
        <w:tc>
          <w:tcPr>
            <w:tcW w:w="94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6,702</w:t>
            </w:r>
          </w:p>
        </w:tc>
      </w:tr>
      <w:tr>
        <w:trPr>
          <w:trHeight w:val="216"/>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6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8,818,724</w:t>
            </w:r>
          </w:p>
        </w:tc>
        <w:tc>
          <w:tcPr>
            <w:tcW w:w="2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8,832,026</w:t>
            </w:r>
          </w:p>
        </w:tc>
        <w:tc>
          <w:tcPr>
            <w:tcW w:w="6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13,302</w:t>
            </w:r>
          </w:p>
        </w:tc>
        <w:tc>
          <w:tcPr>
            <w:tcW w:w="168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6,682,375</w:t>
            </w:r>
          </w:p>
        </w:tc>
        <w:tc>
          <w:tcPr>
            <w:tcW w:w="12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6,689,077</w:t>
            </w:r>
          </w:p>
        </w:tc>
        <w:tc>
          <w:tcPr>
            <w:tcW w:w="94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6,702</w:t>
            </w:r>
          </w:p>
        </w:tc>
      </w:tr>
      <w:tr>
        <w:trPr>
          <w:trHeight w:val="216"/>
        </w:trPr>
        <w:tc>
          <w:tcPr>
            <w:tcW w:w="3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6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13,132,403</w:t>
            </w:r>
          </w:p>
        </w:tc>
        <w:tc>
          <w:tcPr>
            <w:tcW w:w="20" w:type="dxa"/>
            <w:vAlign w:val="bottom"/>
          </w:tcPr>
          <w:p>
            <w:pPr>
              <w:spacing w:after="0"/>
              <w:rPr>
                <w:sz w:val="18"/>
                <w:szCs w:val="18"/>
                <w:color w:val="auto"/>
              </w:rPr>
            </w:pPr>
          </w:p>
        </w:tc>
        <w:tc>
          <w:tcPr>
            <w:tcW w:w="122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13,145,705</w:t>
            </w:r>
          </w:p>
        </w:tc>
        <w:tc>
          <w:tcPr>
            <w:tcW w:w="60" w:type="dxa"/>
            <w:vAlign w:val="bottom"/>
          </w:tcPr>
          <w:p>
            <w:pPr>
              <w:spacing w:after="0"/>
              <w:rPr>
                <w:sz w:val="18"/>
                <w:szCs w:val="18"/>
                <w:color w:val="auto"/>
              </w:rPr>
            </w:pPr>
          </w:p>
        </w:tc>
        <w:tc>
          <w:tcPr>
            <w:tcW w:w="96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13,302</w:t>
            </w:r>
          </w:p>
        </w:tc>
        <w:tc>
          <w:tcPr>
            <w:tcW w:w="168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10,046,504</w:t>
            </w:r>
          </w:p>
        </w:tc>
        <w:tc>
          <w:tcPr>
            <w:tcW w:w="124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10,053,206</w:t>
            </w:r>
          </w:p>
        </w:tc>
        <w:tc>
          <w:tcPr>
            <w:tcW w:w="94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6,702</w:t>
            </w:r>
          </w:p>
        </w:tc>
      </w:tr>
      <w:tr>
        <w:trPr>
          <w:trHeight w:val="216"/>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Statutory reserves</w:t>
            </w:r>
          </w:p>
        </w:tc>
        <w:tc>
          <w:tcPr>
            <w:tcW w:w="16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196,147</w:t>
            </w:r>
          </w:p>
        </w:tc>
        <w:tc>
          <w:tcPr>
            <w:tcW w:w="2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198,266</w:t>
            </w:r>
          </w:p>
        </w:tc>
        <w:tc>
          <w:tcPr>
            <w:tcW w:w="6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2,119</w:t>
            </w:r>
          </w:p>
        </w:tc>
        <w:tc>
          <w:tcPr>
            <w:tcW w:w="168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365,927</w:t>
            </w:r>
          </w:p>
        </w:tc>
        <w:tc>
          <w:tcPr>
            <w:tcW w:w="12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368,046</w:t>
            </w:r>
          </w:p>
        </w:tc>
        <w:tc>
          <w:tcPr>
            <w:tcW w:w="94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2,119</w:t>
            </w:r>
          </w:p>
        </w:tc>
      </w:tr>
      <w:tr>
        <w:trPr>
          <w:trHeight w:val="216"/>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deficits</w:t>
            </w:r>
          </w:p>
        </w:tc>
        <w:tc>
          <w:tcPr>
            <w:tcW w:w="17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(2,739,602)</w:t>
            </w:r>
          </w:p>
        </w:tc>
        <w:tc>
          <w:tcPr>
            <w:tcW w:w="12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(2,701,816)</w:t>
            </w:r>
          </w:p>
        </w:tc>
        <w:tc>
          <w:tcPr>
            <w:tcW w:w="60" w:type="dxa"/>
            <w:vAlign w:val="bottom"/>
          </w:tcPr>
          <w:p>
            <w:pPr>
              <w:spacing w:after="0"/>
              <w:rPr>
                <w:sz w:val="18"/>
                <w:szCs w:val="18"/>
                <w:color w:val="auto"/>
              </w:rPr>
            </w:pPr>
          </w:p>
        </w:tc>
        <w:tc>
          <w:tcPr>
            <w:tcW w:w="96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37,786</w:t>
            </w:r>
          </w:p>
        </w:tc>
        <w:tc>
          <w:tcPr>
            <w:tcW w:w="168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(5,971,779)</w:t>
            </w:r>
          </w:p>
        </w:tc>
        <w:tc>
          <w:tcPr>
            <w:tcW w:w="124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(5,953,788)</w:t>
            </w:r>
          </w:p>
        </w:tc>
        <w:tc>
          <w:tcPr>
            <w:tcW w:w="94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17,991</w:t>
            </w:r>
          </w:p>
        </w:tc>
      </w:tr>
      <w:tr>
        <w:trPr>
          <w:trHeight w:val="194"/>
        </w:trPr>
        <w:tc>
          <w:tcPr>
            <w:tcW w:w="344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Total Company’s ordinary shareholders’</w:t>
            </w:r>
          </w:p>
        </w:tc>
        <w:tc>
          <w:tcPr>
            <w:tcW w:w="14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38"/>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6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14,976,371</w:t>
            </w:r>
          </w:p>
        </w:tc>
        <w:tc>
          <w:tcPr>
            <w:tcW w:w="20" w:type="dxa"/>
            <w:vAlign w:val="bottom"/>
            <w:shd w:val="clear" w:color="auto" w:fill="CCEEFF"/>
          </w:tcPr>
          <w:p>
            <w:pPr>
              <w:spacing w:after="0"/>
              <w:rPr>
                <w:sz w:val="20"/>
                <w:szCs w:val="20"/>
                <w:color w:val="auto"/>
              </w:rPr>
            </w:pPr>
          </w:p>
        </w:tc>
        <w:tc>
          <w:tcPr>
            <w:tcW w:w="122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15,016,276</w:t>
            </w:r>
          </w:p>
        </w:tc>
        <w:tc>
          <w:tcPr>
            <w:tcW w:w="60" w:type="dxa"/>
            <w:vAlign w:val="bottom"/>
            <w:shd w:val="clear" w:color="auto" w:fill="CCEEFF"/>
          </w:tcPr>
          <w:p>
            <w:pPr>
              <w:spacing w:after="0"/>
              <w:rPr>
                <w:sz w:val="20"/>
                <w:szCs w:val="20"/>
                <w:color w:val="auto"/>
              </w:rPr>
            </w:pPr>
          </w:p>
        </w:tc>
        <w:tc>
          <w:tcPr>
            <w:tcW w:w="96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39,905</w:t>
            </w:r>
          </w:p>
        </w:tc>
        <w:tc>
          <w:tcPr>
            <w:tcW w:w="168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11,537,950</w:t>
            </w:r>
          </w:p>
        </w:tc>
        <w:tc>
          <w:tcPr>
            <w:tcW w:w="12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11,558,060</w:t>
            </w:r>
          </w:p>
        </w:tc>
        <w:tc>
          <w:tcPr>
            <w:tcW w:w="94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20,110</w:t>
            </w:r>
          </w:p>
        </w:tc>
      </w:tr>
      <w:tr>
        <w:trPr>
          <w:trHeight w:val="194"/>
        </w:trPr>
        <w:tc>
          <w:tcPr>
            <w:tcW w:w="344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TOTAL LIABILITIES, MEZZANINE</w:t>
            </w: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6"/>
        </w:trPr>
        <w:tc>
          <w:tcPr>
            <w:tcW w:w="3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EQUITY AND SHAREHOLDERS’</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8"/>
        </w:trPr>
        <w:tc>
          <w:tcPr>
            <w:tcW w:w="3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6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29,623,434</w:t>
            </w:r>
          </w:p>
        </w:tc>
        <w:tc>
          <w:tcPr>
            <w:tcW w:w="20" w:type="dxa"/>
            <w:vAlign w:val="bottom"/>
          </w:tcPr>
          <w:p>
            <w:pPr>
              <w:spacing w:after="0"/>
              <w:rPr>
                <w:sz w:val="20"/>
                <w:szCs w:val="20"/>
                <w:color w:val="auto"/>
              </w:rPr>
            </w:pPr>
          </w:p>
        </w:tc>
        <w:tc>
          <w:tcPr>
            <w:tcW w:w="122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29,676,641</w:t>
            </w:r>
          </w:p>
        </w:tc>
        <w:tc>
          <w:tcPr>
            <w:tcW w:w="60" w:type="dxa"/>
            <w:vAlign w:val="bottom"/>
          </w:tcPr>
          <w:p>
            <w:pPr>
              <w:spacing w:after="0"/>
              <w:rPr>
                <w:sz w:val="20"/>
                <w:szCs w:val="20"/>
                <w:color w:val="auto"/>
              </w:rPr>
            </w:pPr>
          </w:p>
        </w:tc>
        <w:tc>
          <w:tcPr>
            <w:tcW w:w="96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53,207</w:t>
            </w:r>
          </w:p>
        </w:tc>
        <w:tc>
          <w:tcPr>
            <w:tcW w:w="168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23,099,114</w:t>
            </w:r>
          </w:p>
        </w:tc>
        <w:tc>
          <w:tcPr>
            <w:tcW w:w="124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23,125,926</w:t>
            </w:r>
          </w:p>
        </w:tc>
        <w:tc>
          <w:tcPr>
            <w:tcW w:w="94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26,812</w:t>
            </w:r>
          </w:p>
        </w:tc>
      </w:tr>
      <w:tr>
        <w:trPr>
          <w:trHeight w:val="648"/>
        </w:trPr>
        <w:tc>
          <w:tcPr>
            <w:tcW w:w="34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14"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LUCKIN COFFEE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of RMB and US$)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40" w:type="dxa"/>
            <w:vAlign w:val="bottom"/>
          </w:tcPr>
          <w:p>
            <w:pPr>
              <w:spacing w:after="0"/>
              <w:rPr>
                <w:sz w:val="20"/>
                <w:szCs w:val="20"/>
                <w:color w:val="auto"/>
              </w:rPr>
            </w:pPr>
          </w:p>
        </w:tc>
        <w:tc>
          <w:tcPr>
            <w:tcW w:w="3360" w:type="dxa"/>
            <w:vAlign w:val="bottom"/>
            <w:gridSpan w:val="8"/>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 September 30,</w:t>
            </w:r>
          </w:p>
        </w:tc>
        <w:tc>
          <w:tcPr>
            <w:tcW w:w="3340" w:type="dxa"/>
            <w:vAlign w:val="bottom"/>
            <w:gridSpan w:val="8"/>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w:t>
            </w:r>
          </w:p>
        </w:tc>
      </w:tr>
      <w:tr>
        <w:trPr>
          <w:trHeight w:val="223"/>
        </w:trPr>
        <w:tc>
          <w:tcPr>
            <w:tcW w:w="4540" w:type="dxa"/>
            <w:vAlign w:val="bottom"/>
          </w:tcPr>
          <w:p>
            <w:pPr>
              <w:spacing w:after="0"/>
              <w:rPr>
                <w:sz w:val="19"/>
                <w:szCs w:val="19"/>
                <w:color w:val="auto"/>
              </w:rPr>
            </w:pPr>
          </w:p>
        </w:tc>
        <w:tc>
          <w:tcPr>
            <w:tcW w:w="94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2025</w:t>
            </w:r>
          </w:p>
        </w:tc>
        <w:tc>
          <w:tcPr>
            <w:tcW w:w="7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9"/>
        </w:trPr>
        <w:tc>
          <w:tcPr>
            <w:tcW w:w="4540" w:type="dxa"/>
            <w:vAlign w:val="bottom"/>
          </w:tcPr>
          <w:p>
            <w:pPr>
              <w:spacing w:after="0"/>
              <w:rPr>
                <w:sz w:val="18"/>
                <w:szCs w:val="18"/>
                <w:color w:val="auto"/>
              </w:rPr>
            </w:pPr>
          </w:p>
        </w:tc>
        <w:tc>
          <w:tcPr>
            <w:tcW w:w="94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RMB</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Borders>
              <w:top w:val="single" w:sz="8" w:color="auto"/>
            </w:tcBorders>
            <w:gridSpan w:val="3"/>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76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US$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RMB</w:t>
            </w:r>
          </w:p>
        </w:tc>
        <w:tc>
          <w:tcPr>
            <w:tcW w:w="200" w:type="dxa"/>
            <w:vAlign w:val="bottom"/>
          </w:tcPr>
          <w:p>
            <w:pPr>
              <w:spacing w:after="0"/>
              <w:rPr>
                <w:sz w:val="18"/>
                <w:szCs w:val="18"/>
                <w:color w:val="auto"/>
              </w:rPr>
            </w:pPr>
          </w:p>
        </w:tc>
        <w:tc>
          <w:tcPr>
            <w:tcW w:w="1220" w:type="dxa"/>
            <w:vAlign w:val="bottom"/>
            <w:tcBorders>
              <w:top w:val="single" w:sz="8" w:color="auto"/>
            </w:tcBorders>
            <w:gridSpan w:val="3"/>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RMB</w:t>
            </w:r>
          </w:p>
        </w:tc>
        <w:tc>
          <w:tcPr>
            <w:tcW w:w="82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18"/>
                <w:szCs w:val="18"/>
                <w:color w:val="auto"/>
              </w:rPr>
            </w:pP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1,316,141</w:t>
            </w:r>
          </w:p>
        </w:tc>
        <w:tc>
          <w:tcPr>
            <w:tcW w:w="13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2,069,201</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290,097</w:t>
            </w:r>
          </w:p>
        </w:tc>
        <w:tc>
          <w:tcPr>
            <w:tcW w:w="12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2,600,897</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5,526,280</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774,770</w:t>
            </w: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(988,308)</w:t>
            </w:r>
          </w:p>
        </w:tc>
        <w:tc>
          <w:tcPr>
            <w:tcW w:w="13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(3,750,368)</w:t>
            </w:r>
          </w:p>
        </w:tc>
        <w:tc>
          <w:tcPr>
            <w:tcW w:w="1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(525,792)</w:t>
            </w:r>
          </w:p>
        </w:tc>
        <w:tc>
          <w:tcPr>
            <w:tcW w:w="12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(2,097,443)</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(7,339,419)</w:t>
            </w: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(1,028,967)</w:t>
            </w: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by/(used in) financing activities</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300,000</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(333,600)</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(46,770)</w:t>
            </w:r>
          </w:p>
        </w:tc>
      </w:tr>
      <w:tr>
        <w:trPr>
          <w:trHeight w:val="198"/>
        </w:trPr>
        <w:tc>
          <w:tcPr>
            <w:tcW w:w="45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Effect of foreign exchange rate changes on cash and cash</w:t>
            </w: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8"/>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equivalents and restricted cash</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1,642</w:t>
            </w:r>
          </w:p>
        </w:tc>
        <w:tc>
          <w:tcPr>
            <w:tcW w:w="13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2,936</w:t>
            </w:r>
          </w:p>
        </w:tc>
        <w:tc>
          <w:tcPr>
            <w:tcW w:w="180" w:type="dxa"/>
            <w:vAlign w:val="bottom"/>
          </w:tcPr>
          <w:p>
            <w:pPr>
              <w:spacing w:after="0"/>
              <w:rPr>
                <w:sz w:val="21"/>
                <w:szCs w:val="21"/>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412</w:t>
            </w:r>
          </w:p>
        </w:tc>
        <w:tc>
          <w:tcPr>
            <w:tcW w:w="12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5,695</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(13,695)</w:t>
            </w:r>
          </w:p>
        </w:tc>
        <w:tc>
          <w:tcPr>
            <w:tcW w:w="100" w:type="dxa"/>
            <w:vAlign w:val="bottom"/>
          </w:tcPr>
          <w:p>
            <w:pPr>
              <w:spacing w:after="0"/>
              <w:rPr>
                <w:sz w:val="21"/>
                <w:szCs w:val="21"/>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(1,920)</w:t>
            </w:r>
          </w:p>
        </w:tc>
      </w:tr>
      <w:tr>
        <w:trPr>
          <w:trHeight w:val="178"/>
        </w:trPr>
        <w:tc>
          <w:tcPr>
            <w:tcW w:w="454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Net increase/(decrease) in cash and cash equivalents and</w:t>
            </w:r>
          </w:p>
        </w:tc>
        <w:tc>
          <w:tcPr>
            <w:tcW w:w="9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34"/>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329,475</w:t>
            </w:r>
          </w:p>
        </w:tc>
        <w:tc>
          <w:tcPr>
            <w:tcW w:w="13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(1,678,231)</w:t>
            </w:r>
          </w:p>
        </w:tc>
        <w:tc>
          <w:tcPr>
            <w:tcW w:w="1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(235,283)</w:t>
            </w:r>
          </w:p>
        </w:tc>
        <w:tc>
          <w:tcPr>
            <w:tcW w:w="12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809,149</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(2,160,434)</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(302,887)</w:t>
            </w:r>
          </w:p>
        </w:tc>
      </w:tr>
      <w:tr>
        <w:trPr>
          <w:trHeight w:val="194"/>
        </w:trPr>
        <w:tc>
          <w:tcPr>
            <w:tcW w:w="454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Cash and cash equivalents and restricted cash at</w:t>
            </w: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52"/>
        </w:trPr>
        <w:tc>
          <w:tcPr>
            <w:tcW w:w="4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beginning of period</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3,518,317</w:t>
            </w:r>
          </w:p>
        </w:tc>
        <w:tc>
          <w:tcPr>
            <w:tcW w:w="13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3,924,482</w:t>
            </w:r>
          </w:p>
        </w:tc>
        <w:tc>
          <w:tcPr>
            <w:tcW w:w="180" w:type="dxa"/>
            <w:vAlign w:val="bottom"/>
          </w:tcPr>
          <w:p>
            <w:pPr>
              <w:spacing w:after="0"/>
              <w:rPr>
                <w:sz w:val="21"/>
                <w:szCs w:val="21"/>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550,202</w:t>
            </w:r>
          </w:p>
        </w:tc>
        <w:tc>
          <w:tcPr>
            <w:tcW w:w="12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3,038,643</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4,406,685</w:t>
            </w:r>
          </w:p>
        </w:tc>
        <w:tc>
          <w:tcPr>
            <w:tcW w:w="100" w:type="dxa"/>
            <w:vAlign w:val="bottom"/>
          </w:tcPr>
          <w:p>
            <w:pPr>
              <w:spacing w:after="0"/>
              <w:rPr>
                <w:sz w:val="21"/>
                <w:szCs w:val="21"/>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617,806</w:t>
            </w:r>
          </w:p>
        </w:tc>
      </w:tr>
      <w:tr>
        <w:trPr>
          <w:trHeight w:val="174"/>
        </w:trPr>
        <w:tc>
          <w:tcPr>
            <w:tcW w:w="4540" w:type="dxa"/>
            <w:vAlign w:val="bottom"/>
            <w:tcBorders>
              <w:top w:val="single" w:sz="8" w:color="CCEEFF"/>
            </w:tcBorders>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Cash and cash equivalents and restricted cash at end of</w:t>
            </w:r>
          </w:p>
        </w:tc>
        <w:tc>
          <w:tcPr>
            <w:tcW w:w="9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65"/>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3,847,792</w:t>
            </w:r>
          </w:p>
        </w:tc>
        <w:tc>
          <w:tcPr>
            <w:tcW w:w="13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2,246,251</w:t>
            </w:r>
          </w:p>
        </w:tc>
        <w:tc>
          <w:tcPr>
            <w:tcW w:w="18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314,919</w:t>
            </w:r>
          </w:p>
        </w:tc>
        <w:tc>
          <w:tcPr>
            <w:tcW w:w="12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3,847,792</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2,246,251</w:t>
            </w:r>
          </w:p>
        </w:tc>
        <w:tc>
          <w:tcPr>
            <w:tcW w:w="10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314,919</w:t>
            </w: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628"/>
        </w:trPr>
        <w:tc>
          <w:tcPr>
            <w:tcW w:w="45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2"/>
          </w:tcPr>
          <w:p>
            <w:pPr>
              <w:jc w:val="right"/>
              <w:ind w:right="810"/>
              <w:spacing w:after="0"/>
              <w:rPr>
                <w:sz w:val="20"/>
                <w:szCs w:val="20"/>
                <w:color w:val="auto"/>
              </w:rPr>
            </w:pPr>
            <w:r>
              <w:rPr>
                <w:rFonts w:ascii="Times New Roman" w:cs="Times New Roman" w:eastAsia="Times New Roman" w:hAnsi="Times New Roman"/>
                <w:sz w:val="18"/>
                <w:szCs w:val="18"/>
                <w:color w:val="auto"/>
                <w:w w:val="88"/>
              </w:rPr>
              <w:t>13</w:t>
            </w: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LUCKIN COFFEE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NON-GAAP MEASURES TO THE MOST DIRECTLY COMPARABLE GAAP MEASURES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amounts in thousands of RMB and US$, except for number of shares and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20" w:type="dxa"/>
            <w:vAlign w:val="bottom"/>
          </w:tcPr>
          <w:p>
            <w:pPr>
              <w:spacing w:after="0"/>
              <w:rPr>
                <w:sz w:val="20"/>
                <w:szCs w:val="20"/>
                <w:color w:val="auto"/>
              </w:rPr>
            </w:pPr>
          </w:p>
        </w:tc>
        <w:tc>
          <w:tcPr>
            <w:tcW w:w="3760" w:type="dxa"/>
            <w:vAlign w:val="bottom"/>
            <w:gridSpan w:val="6"/>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For the three months ended September 30,</w:t>
            </w:r>
          </w:p>
        </w:tc>
        <w:tc>
          <w:tcPr>
            <w:tcW w:w="3660" w:type="dxa"/>
            <w:vAlign w:val="bottom"/>
            <w:gridSpan w:val="6"/>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w:t>
            </w:r>
          </w:p>
        </w:tc>
      </w:tr>
      <w:tr>
        <w:trPr>
          <w:trHeight w:val="223"/>
        </w:trPr>
        <w:tc>
          <w:tcPr>
            <w:tcW w:w="382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9"/>
                <w:szCs w:val="19"/>
                <w:color w:val="auto"/>
              </w:rPr>
            </w:pPr>
          </w:p>
        </w:tc>
        <w:tc>
          <w:tcPr>
            <w:tcW w:w="2280" w:type="dxa"/>
            <w:vAlign w:val="bottom"/>
            <w:tcBorders>
              <w:top w:val="single" w:sz="8" w:color="auto"/>
              <w:bottom w:val="single" w:sz="8" w:color="auto"/>
            </w:tcBorders>
            <w:gridSpan w:val="3"/>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9"/>
                <w:szCs w:val="19"/>
                <w:color w:val="auto"/>
              </w:rPr>
            </w:pPr>
          </w:p>
        </w:tc>
        <w:tc>
          <w:tcPr>
            <w:tcW w:w="2300" w:type="dxa"/>
            <w:vAlign w:val="bottom"/>
            <w:tcBorders>
              <w:top w:val="single" w:sz="8" w:color="auto"/>
              <w:bottom w:val="single" w:sz="8" w:color="auto"/>
            </w:tcBorders>
            <w:gridSpan w:val="3"/>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r>
      <w:tr>
        <w:trPr>
          <w:trHeight w:val="209"/>
        </w:trPr>
        <w:tc>
          <w:tcPr>
            <w:tcW w:w="3820" w:type="dxa"/>
            <w:vAlign w:val="bottom"/>
          </w:tcPr>
          <w:p>
            <w:pPr>
              <w:spacing w:after="0"/>
              <w:rPr>
                <w:sz w:val="18"/>
                <w:szCs w:val="18"/>
                <w:color w:val="auto"/>
              </w:rPr>
            </w:pPr>
          </w:p>
        </w:tc>
        <w:tc>
          <w:tcPr>
            <w:tcW w:w="10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RMB</w:t>
            </w:r>
          </w:p>
        </w:tc>
        <w:tc>
          <w:tcPr>
            <w:tcW w:w="220" w:type="dxa"/>
            <w:vAlign w:val="bottom"/>
          </w:tcPr>
          <w:p>
            <w:pPr>
              <w:spacing w:after="0"/>
              <w:rPr>
                <w:sz w:val="18"/>
                <w:szCs w:val="18"/>
                <w:color w:val="auto"/>
              </w:rPr>
            </w:pPr>
          </w:p>
        </w:tc>
        <w:tc>
          <w:tcPr>
            <w:tcW w:w="124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RMB</w:t>
            </w:r>
          </w:p>
        </w:tc>
        <w:tc>
          <w:tcPr>
            <w:tcW w:w="10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US$</w:t>
            </w:r>
          </w:p>
        </w:tc>
        <w:tc>
          <w:tcPr>
            <w:tcW w:w="220" w:type="dxa"/>
            <w:vAlign w:val="bottom"/>
          </w:tcPr>
          <w:p>
            <w:pPr>
              <w:spacing w:after="0"/>
              <w:rPr>
                <w:sz w:val="18"/>
                <w:szCs w:val="18"/>
                <w:color w:val="auto"/>
              </w:rPr>
            </w:pPr>
          </w:p>
        </w:tc>
        <w:tc>
          <w:tcPr>
            <w:tcW w:w="10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RMB</w:t>
            </w:r>
          </w:p>
        </w:tc>
        <w:tc>
          <w:tcPr>
            <w:tcW w:w="220" w:type="dxa"/>
            <w:vAlign w:val="bottom"/>
          </w:tcPr>
          <w:p>
            <w:pPr>
              <w:spacing w:after="0"/>
              <w:rPr>
                <w:sz w:val="18"/>
                <w:szCs w:val="18"/>
                <w:color w:val="auto"/>
              </w:rPr>
            </w:pPr>
          </w:p>
        </w:tc>
        <w:tc>
          <w:tcPr>
            <w:tcW w:w="12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RMB</w:t>
            </w:r>
          </w:p>
        </w:tc>
        <w:tc>
          <w:tcPr>
            <w:tcW w:w="10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18"/>
                <w:szCs w:val="18"/>
                <w:color w:val="auto"/>
              </w:rPr>
            </w:pPr>
          </w:p>
        </w:tc>
      </w:tr>
      <w:tr>
        <w:trPr>
          <w:trHeight w:val="216"/>
        </w:trPr>
        <w:tc>
          <w:tcPr>
            <w:tcW w:w="38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 Non-GAAP operating income</w:t>
            </w: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1,572,996</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1,776,554</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249,068</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2,562,311</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4,251,494</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596,050</w:t>
            </w:r>
          </w:p>
        </w:tc>
      </w:tr>
      <w:tr>
        <w:trPr>
          <w:trHeight w:val="216"/>
        </w:trPr>
        <w:tc>
          <w:tcPr>
            <w:tcW w:w="38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Adjusted for:</w:t>
            </w: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3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Share-based compensation expenses</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98,172</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149,139</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20,910</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268,188</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430,760</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60,391</w:t>
            </w:r>
          </w:p>
        </w:tc>
      </w:tr>
      <w:tr>
        <w:trPr>
          <w:trHeight w:val="209"/>
        </w:trPr>
        <w:tc>
          <w:tcPr>
            <w:tcW w:w="382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Non-GAAP operating income</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1,671,168</w:t>
            </w:r>
          </w:p>
        </w:tc>
        <w:tc>
          <w:tcPr>
            <w:tcW w:w="2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w w:val="94"/>
              </w:rPr>
              <w:t>1,925,693</w:t>
            </w:r>
          </w:p>
        </w:tc>
        <w:tc>
          <w:tcPr>
            <w:tcW w:w="2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269,978</w:t>
            </w:r>
          </w:p>
        </w:tc>
        <w:tc>
          <w:tcPr>
            <w:tcW w:w="2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2,830,499</w:t>
            </w:r>
          </w:p>
        </w:tc>
        <w:tc>
          <w:tcPr>
            <w:tcW w:w="2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4,682,254</w:t>
            </w:r>
          </w:p>
        </w:tc>
        <w:tc>
          <w:tcPr>
            <w:tcW w:w="2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656,441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38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 Non-GAAP net income</w:t>
            </w: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1,314,284</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1,278,324</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179,217</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2,105,018</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3,082,192</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432,116</w:t>
            </w:r>
          </w:p>
        </w:tc>
      </w:tr>
      <w:tr>
        <w:trPr>
          <w:trHeight w:val="216"/>
        </w:trPr>
        <w:tc>
          <w:tcPr>
            <w:tcW w:w="38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Adjusted for:</w:t>
            </w: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Share-based compensation expenses</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98,172</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149,139</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20,910</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268,188</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430,760</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60,391</w:t>
            </w:r>
          </w:p>
        </w:tc>
      </w:tr>
      <w:tr>
        <w:trPr>
          <w:trHeight w:val="198"/>
        </w:trPr>
        <w:tc>
          <w:tcPr>
            <w:tcW w:w="3820" w:type="dxa"/>
            <w:vAlign w:val="bottom"/>
            <w:shd w:val="clear" w:color="auto" w:fill="CCEEFF"/>
          </w:tcPr>
          <w:p>
            <w:pPr>
              <w:ind w:left="40"/>
              <w:spacing w:after="0" w:line="198" w:lineRule="exact"/>
              <w:rPr>
                <w:sz w:val="20"/>
                <w:szCs w:val="20"/>
                <w:color w:val="auto"/>
              </w:rPr>
            </w:pPr>
            <w:r>
              <w:rPr>
                <w:rFonts w:ascii="Times New Roman" w:cs="Times New Roman" w:eastAsia="Times New Roman" w:hAnsi="Times New Roman"/>
                <w:sz w:val="18"/>
                <w:szCs w:val="18"/>
                <w:color w:val="auto"/>
              </w:rPr>
              <w:t>Income tax effects of GAAP to non-GAAP</w:t>
            </w: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48"/>
        </w:trPr>
        <w:tc>
          <w:tcPr>
            <w:tcW w:w="38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reconciling items</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(6,030)</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(845)</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(15,225)</w:t>
            </w: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(2,134)</w:t>
            </w:r>
          </w:p>
        </w:tc>
      </w:tr>
      <w:tr>
        <w:trPr>
          <w:trHeight w:val="209"/>
        </w:trPr>
        <w:tc>
          <w:tcPr>
            <w:tcW w:w="38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Non-GAAP net income*</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1,412,456</w:t>
            </w:r>
          </w:p>
        </w:tc>
        <w:tc>
          <w:tcPr>
            <w:tcW w:w="220" w:type="dxa"/>
            <w:vAlign w:val="bottom"/>
            <w:tcBorders>
              <w:bottom w:val="single" w:sz="8" w:color="CCEEFF"/>
            </w:tcBorders>
          </w:tcPr>
          <w:p>
            <w:pPr>
              <w:spacing w:after="0"/>
              <w:rPr>
                <w:sz w:val="18"/>
                <w:szCs w:val="18"/>
                <w:color w:val="auto"/>
              </w:rPr>
            </w:pPr>
          </w:p>
        </w:tc>
        <w:tc>
          <w:tcPr>
            <w:tcW w:w="1020" w:type="dxa"/>
            <w:vAlign w:val="bottom"/>
            <w:tcBorders>
              <w:top w:val="single" w:sz="8" w:color="auto"/>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w w:val="94"/>
              </w:rPr>
              <w:t>1,421,433</w:t>
            </w:r>
          </w:p>
        </w:tc>
        <w:tc>
          <w:tcPr>
            <w:tcW w:w="220" w:type="dxa"/>
            <w:vAlign w:val="bottom"/>
            <w:tcBorders>
              <w:bottom w:val="single" w:sz="8" w:color="CCEEFF"/>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199,282</w:t>
            </w:r>
          </w:p>
        </w:tc>
        <w:tc>
          <w:tcPr>
            <w:tcW w:w="220" w:type="dxa"/>
            <w:vAlign w:val="bottom"/>
            <w:tcBorders>
              <w:bottom w:val="single" w:sz="8" w:color="CCEEFF"/>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2,373,206</w:t>
            </w:r>
          </w:p>
        </w:tc>
        <w:tc>
          <w:tcPr>
            <w:tcW w:w="220" w:type="dxa"/>
            <w:vAlign w:val="bottom"/>
            <w:tcBorders>
              <w:bottom w:val="single" w:sz="8" w:color="CCEEFF"/>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3,497,727</w:t>
            </w:r>
          </w:p>
        </w:tc>
        <w:tc>
          <w:tcPr>
            <w:tcW w:w="220" w:type="dxa"/>
            <w:vAlign w:val="bottom"/>
            <w:tcBorders>
              <w:bottom w:val="single" w:sz="8" w:color="CCEEFF"/>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490,373</w:t>
            </w:r>
          </w:p>
        </w:tc>
        <w:tc>
          <w:tcPr>
            <w:tcW w:w="100" w:type="dxa"/>
            <w:vAlign w:val="bottom"/>
            <w:tcBorders>
              <w:bottom w:val="single" w:sz="8" w:color="CCEEFF"/>
            </w:tcBorders>
          </w:tcPr>
          <w:p>
            <w:pPr>
              <w:spacing w:after="0"/>
              <w:rPr>
                <w:sz w:val="18"/>
                <w:szCs w:val="18"/>
                <w:color w:val="auto"/>
              </w:rPr>
            </w:pPr>
          </w:p>
        </w:tc>
      </w:tr>
      <w:tr>
        <w:trPr>
          <w:trHeight w:val="210"/>
        </w:trPr>
        <w:tc>
          <w:tcPr>
            <w:tcW w:w="38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8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 Non-GAAP net income per share</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4"/>
        </w:trPr>
        <w:tc>
          <w:tcPr>
            <w:tcW w:w="3820" w:type="dxa"/>
            <w:vAlign w:val="bottom"/>
            <w:shd w:val="clear" w:color="auto" w:fill="CCEEFF"/>
          </w:tcPr>
          <w:p>
            <w:pPr>
              <w:ind w:left="40"/>
              <w:spacing w:after="0" w:line="194" w:lineRule="exact"/>
              <w:rPr>
                <w:sz w:val="20"/>
                <w:szCs w:val="20"/>
                <w:color w:val="auto"/>
              </w:rPr>
            </w:pPr>
            <w:r>
              <w:rPr>
                <w:rFonts w:ascii="Times New Roman" w:cs="Times New Roman" w:eastAsia="Times New Roman" w:hAnsi="Times New Roman"/>
                <w:sz w:val="18"/>
                <w:szCs w:val="18"/>
                <w:b w:val="1"/>
                <w:bCs w:val="1"/>
                <w:color w:val="auto"/>
              </w:rPr>
              <w:t>Weighted average shares outstanding used in</w:t>
            </w:r>
          </w:p>
        </w:tc>
        <w:tc>
          <w:tcPr>
            <w:tcW w:w="10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8"/>
        </w:trPr>
        <w:tc>
          <w:tcPr>
            <w:tcW w:w="38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calculating basic and diluted income per share:</w:t>
            </w:r>
          </w:p>
        </w:tc>
        <w:tc>
          <w:tcPr>
            <w:tcW w:w="10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3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Basic</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8"/>
              </w:rPr>
              <w:t>2,545,551,167</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8"/>
              </w:rPr>
              <w:t>2,564,658,430</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8"/>
              </w:rPr>
              <w:t>2,564,658,430</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8"/>
              </w:rPr>
              <w:t>2,545,551,167</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8"/>
              </w:rPr>
              <w:t>2,564,658,441</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8"/>
              </w:rPr>
              <w:t>2,564,658,441</w:t>
            </w:r>
          </w:p>
        </w:tc>
      </w:tr>
      <w:tr>
        <w:trPr>
          <w:trHeight w:val="216"/>
        </w:trPr>
        <w:tc>
          <w:tcPr>
            <w:tcW w:w="38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Diluted</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8"/>
              </w:rPr>
              <w:t>2,549,360,432</w:t>
            </w: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8"/>
              </w:rPr>
              <w:t>2,586,724,800</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8"/>
              </w:rPr>
              <w:t>2,586,724,800</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8"/>
              </w:rPr>
              <w:t>2,548,436,166</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8"/>
              </w:rPr>
              <w:t>2,584,194,116</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8"/>
              </w:rPr>
              <w:t>2,584,194,116</w:t>
            </w:r>
          </w:p>
        </w:tc>
      </w:tr>
      <w:tr>
        <w:trPr>
          <w:trHeight w:val="216"/>
        </w:trPr>
        <w:tc>
          <w:tcPr>
            <w:tcW w:w="38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Non-GAAP net income per share:</w:t>
            </w: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Basic</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0.55</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0.55</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0.08</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0.93</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1.36</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0.19</w:t>
            </w:r>
          </w:p>
        </w:tc>
      </w:tr>
      <w:tr>
        <w:trPr>
          <w:trHeight w:val="216"/>
        </w:trPr>
        <w:tc>
          <w:tcPr>
            <w:tcW w:w="38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Diluted</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0.55</w:t>
            </w: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0.55</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0.08</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0.93</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1.35</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0.19</w:t>
            </w:r>
          </w:p>
        </w:tc>
      </w:tr>
      <w:tr>
        <w:trPr>
          <w:trHeight w:val="216"/>
        </w:trPr>
        <w:tc>
          <w:tcPr>
            <w:tcW w:w="38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Non-GAAP net income per ADS:</w:t>
            </w: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Basic*</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4.40</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4.40</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0.64</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7.44</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10.88</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1.52</w:t>
            </w:r>
          </w:p>
        </w:tc>
      </w:tr>
      <w:tr>
        <w:trPr>
          <w:trHeight w:val="216"/>
        </w:trPr>
        <w:tc>
          <w:tcPr>
            <w:tcW w:w="38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Diluted*</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4.40</w:t>
            </w: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4.40</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0.64</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7.44</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10.80</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1.52</w:t>
            </w:r>
          </w:p>
        </w:tc>
      </w:tr>
    </w:tbl>
    <w:p>
      <w:pPr>
        <w:spacing w:after="0" w:line="198" w:lineRule="exact"/>
        <w:rPr>
          <w:sz w:val="20"/>
          <w:szCs w:val="20"/>
          <w:color w:val="auto"/>
        </w:rPr>
      </w:pPr>
    </w:p>
    <w:p>
      <w:pPr>
        <w:ind w:right="20" w:firstLine="8"/>
        <w:spacing w:after="0" w:line="282" w:lineRule="auto"/>
        <w:tabs>
          <w:tab w:leader="none" w:pos="14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ADS represents eight Class A Ordinary Shares. The per ADS indicators are based on rounded results of corresponding per share indicators, which could have a rounding difference of absolute amount for not more than 0.04 per ADS.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bullet"/>
      <w:start w:val="1"/>
    </w:lvl>
  </w:abstractNum>
  <w:abstractNum w:abstractNumId="2">
    <w:nsid w:val="46E87CCD"/>
    <w:multiLevelType w:val="hybridMultilevel"/>
    <w:lvl w:ilvl="0">
      <w:lvlJc w:val="left"/>
      <w:lvlText w:val="·"/>
      <w:numFmt w:val="bullet"/>
      <w:start w:val="1"/>
    </w:lvl>
    <w:lvl w:ilvl="1">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2025-11-17T06:05:43Z</dcterms:created>
  <dcterms:modified xsi:type="dcterms:W3CDTF">2025-11-17T06:05:43Z</dcterms:modified>
</cp:coreProperties>
</file>