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001-38896</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Luckin Coffee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28th Floor, Building T3, Haixi Jingu Plaza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1-3 Taibei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Siming District, Xiamen City, Fujian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 361008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+86-592-3386666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Luckin Coffee Inc.</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5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 /s/ Jing An</w:t>
            </w:r>
          </w:p>
        </w:tc>
      </w:tr>
      <w:tr>
        <w:trPr>
          <w:trHeight w:val="191"/>
        </w:trPr>
        <w:tc>
          <w:tcPr>
            <w:tcW w:w="580" w:type="dxa"/>
            <w:vAlign w:val="bottom"/>
          </w:tcPr>
          <w:p>
            <w:pPr>
              <w:spacing w:after="0"/>
              <w:rPr>
                <w:sz w:val="16"/>
                <w:szCs w:val="16"/>
                <w:color w:val="auto"/>
              </w:rPr>
            </w:pPr>
          </w:p>
        </w:tc>
        <w:tc>
          <w:tcPr>
            <w:tcW w:w="494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Jing An</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6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40" w:type="dxa"/>
            <w:vAlign w:val="bottom"/>
          </w:tcPr>
          <w:p>
            <w:pPr>
              <w:spacing w:after="0"/>
              <w:rPr>
                <w:sz w:val="24"/>
                <w:szCs w:val="24"/>
                <w:color w:val="auto"/>
              </w:rPr>
            </w:pPr>
          </w:p>
        </w:tc>
        <w:tc>
          <w:tcPr>
            <w:tcW w:w="886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Earnings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88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156845</wp:posOffset>
            </wp:positionV>
            <wp:extent cx="985520"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552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Announces Fourth Quarter and Fiscal Year 2024 Financial Results</w:t>
      </w:r>
    </w:p>
    <w:p>
      <w:pPr>
        <w:spacing w:after="0" w:line="227" w:lineRule="exact"/>
        <w:rPr>
          <w:sz w:val="20"/>
          <w:szCs w:val="20"/>
          <w:color w:val="auto"/>
        </w:rPr>
      </w:pPr>
    </w:p>
    <w:p>
      <w:pPr>
        <w:jc w:val="center"/>
        <w:ind w:left="340" w:right="1720"/>
        <w:spacing w:after="0" w:line="377" w:lineRule="auto"/>
        <w:rPr>
          <w:sz w:val="20"/>
          <w:szCs w:val="20"/>
          <w:color w:val="auto"/>
        </w:rPr>
      </w:pPr>
      <w:r>
        <w:rPr>
          <w:rFonts w:ascii="Times New Roman" w:cs="Times New Roman" w:eastAsia="Times New Roman" w:hAnsi="Times New Roman"/>
          <w:sz w:val="18"/>
          <w:szCs w:val="18"/>
          <w:i w:val="1"/>
          <w:iCs w:val="1"/>
          <w:color w:val="auto"/>
        </w:rPr>
        <w:t>Fourth Quarter GAAP Operating Margin Expanded Year-over-Year to 10.4% Fourth Quarter Same-Store Sales Growth for Self-Operated Stores Notably Improved Quarter-over-Quarter Net New Store Openings of 6,092 in 2024, Ending the Year with a Total of 22,340 Stores</w:t>
      </w:r>
    </w:p>
    <w:p>
      <w:pPr>
        <w:spacing w:after="0" w:line="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February 20, 2025 (GLOBE NEWSWIRE) </w:t>
      </w:r>
      <w:r>
        <w:rPr>
          <w:rFonts w:ascii="Times New Roman" w:cs="Times New Roman" w:eastAsia="Times New Roman" w:hAnsi="Times New Roman"/>
          <w:sz w:val="18"/>
          <w:szCs w:val="18"/>
          <w:color w:val="auto"/>
        </w:rPr>
        <w:t>— Luckin Coffee Inc. (“Luckin Coffee” or the “Company”) (OTC: LKNCY) today announced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 financial results for the three months ended December 31, 2024 and fiscal year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2024 HIGHLIGHTS</w:t>
      </w:r>
      <w:r>
        <w:rPr>
          <w:rFonts w:ascii="Times New Roman" w:cs="Times New Roman" w:eastAsia="Times New Roman" w:hAnsi="Times New Roman"/>
          <w:sz w:val="29"/>
          <w:szCs w:val="29"/>
          <w:b w:val="1"/>
          <w:bCs w:val="1"/>
          <w:color w:val="auto"/>
          <w:vertAlign w:val="superscript"/>
        </w:rPr>
        <w:t>1</w:t>
      </w:r>
    </w:p>
    <w:p>
      <w:pPr>
        <w:spacing w:after="0" w:line="13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RMB9,613.3 million (US$1,317.2 million), representing a 36.1% year-over-year increase.</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were 997, comprising 991 stores in China (including 5 stores in Hong Kong) and 6 stores in Singapore.</w:t>
      </w:r>
      <w:r>
        <w:rPr>
          <w:rFonts w:ascii="Times New Roman" w:cs="Times New Roman" w:eastAsia="Times New Roman" w:hAnsi="Times New Roman"/>
          <w:sz w:val="18"/>
          <w:szCs w:val="18"/>
          <w:b w:val="1"/>
          <w:bCs w:val="1"/>
          <w:color w:val="auto"/>
        </w:rPr>
        <w:t xml:space="preserve"> Total number of stores </w:t>
      </w:r>
      <w:r>
        <w:rPr>
          <w:rFonts w:ascii="Times New Roman" w:cs="Times New Roman" w:eastAsia="Times New Roman" w:hAnsi="Times New Roman"/>
          <w:sz w:val="18"/>
          <w:szCs w:val="18"/>
          <w:color w:val="auto"/>
        </w:rPr>
        <w:t>increased to 22,340 at the fourth quarter end, comprising 14,591 self-operated stores and 7,749 partnership stores, which represented a store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of 4.7% from the total store count as of the end of third quarter of 2024.</w:t>
      </w:r>
    </w:p>
    <w:p>
      <w:pPr>
        <w:spacing w:after="0" w:line="13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monthly transacting customers </w:t>
      </w:r>
      <w:r>
        <w:rPr>
          <w:rFonts w:ascii="Times New Roman" w:cs="Times New Roman" w:eastAsia="Times New Roman" w:hAnsi="Times New Roman"/>
          <w:sz w:val="18"/>
          <w:szCs w:val="18"/>
          <w:color w:val="auto"/>
        </w:rPr>
        <w:t>were 77.8 million, representing a 24.5% year-over-year increase.</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were RMB7,233.8 million (US$991.2 million), representing a 41.7% year-over-year increase.</w:t>
      </w:r>
    </w:p>
    <w:p>
      <w:pPr>
        <w:spacing w:after="0" w:line="18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was negative 3.4%, notably improved from negative 13.1% in the previous quarter, and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13.5% in the same quarter of 2023.</w:t>
      </w:r>
    </w:p>
    <w:p>
      <w:pPr>
        <w:spacing w:after="0" w:line="11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Store-level operating profit – self-operated stores </w:t>
      </w:r>
      <w:r>
        <w:rPr>
          <w:rFonts w:ascii="Times New Roman" w:cs="Times New Roman" w:eastAsia="Times New Roman" w:hAnsi="Times New Roman"/>
          <w:sz w:val="18"/>
          <w:szCs w:val="18"/>
          <w:color w:val="auto"/>
        </w:rPr>
        <w:t>was RMB1,419.0 million (US$194.4 million), representing a 105.5% year-over-year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Store-level operating profit margin increased by 610 basis points year-over-year to 19.6%.</w:t>
      </w:r>
    </w:p>
    <w:p>
      <w:pPr>
        <w:spacing w:after="0" w:line="11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RMB2,045.8 million (US$280.3 million), representing a 16.0% year-over-year increase.</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RMB995.0 million (US$136.3 million), representing a 367.8% year-over-year increase. GAAP operating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increased by 740 basis points year-over-year to 10.4%.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which adjusts for share-based compensation expenses, was RMB1,091.7 million (US$149.6 million), representing a 300.0% year-over-year increase. Non-GAAP operating margin increased by 750 basis points year-over-year to 11.4%.</w:t>
      </w:r>
    </w:p>
    <w:p>
      <w:pPr>
        <w:spacing w:after="0" w:line="135"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International business update. </w:t>
      </w:r>
      <w:r>
        <w:rPr>
          <w:rFonts w:ascii="Times New Roman" w:cs="Times New Roman" w:eastAsia="Times New Roman" w:hAnsi="Times New Roman"/>
          <w:sz w:val="18"/>
          <w:szCs w:val="18"/>
          <w:color w:val="auto"/>
        </w:rPr>
        <w:t>We formed a strategic partnership with Hextar Industries Berhad (“HIB”) to expand into a new overseas market,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HIB’s subsidiary being granted exclusive franchise rights to operate Luckin Coffee stores in Malaysia. This milestone in our international expansion efforts enhances our ability to deliver high-quality coffee experiences with a strong value proposition to more consumers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2" w:lineRule="exact"/>
        <w:rPr>
          <w:sz w:val="20"/>
          <w:szCs w:val="20"/>
          <w:color w:val="auto"/>
        </w:rPr>
      </w:pPr>
    </w:p>
    <w:p>
      <w:pPr>
        <w:ind w:left="5580" w:right="3460" w:hanging="5572"/>
        <w:spacing w:after="0" w:line="623" w:lineRule="auto"/>
        <w:tabs>
          <w:tab w:leader="none" w:pos="121"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refer to the section “KEY DEFINITIONS” on Page 5 for detailed definitions on certain terms used.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FISCAL YEAR 2024 HIGHLIGHTS</w:t>
      </w:r>
    </w:p>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RMB34,474.8 million (US$4,723.9 million), representing a 38.4% year-over-year increase.</w:t>
      </w:r>
    </w:p>
    <w:p>
      <w:pPr>
        <w:spacing w:after="0" w:line="18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were 6,092, comprising 6,071 stores in China (including 5 stores in Hong Kong) and 21 stores in Singapore.</w:t>
      </w:r>
      <w:r>
        <w:rPr>
          <w:rFonts w:ascii="Times New Roman" w:cs="Times New Roman" w:eastAsia="Times New Roman" w:hAnsi="Times New Roman"/>
          <w:sz w:val="18"/>
          <w:szCs w:val="18"/>
          <w:b w:val="1"/>
          <w:bCs w:val="1"/>
          <w:color w:val="auto"/>
        </w:rPr>
        <w:t xml:space="preserve"> Total number of stores </w:t>
      </w:r>
      <w:r>
        <w:rPr>
          <w:rFonts w:ascii="Times New Roman" w:cs="Times New Roman" w:eastAsia="Times New Roman" w:hAnsi="Times New Roman"/>
          <w:sz w:val="18"/>
          <w:szCs w:val="18"/>
          <w:color w:val="auto"/>
        </w:rPr>
        <w:t>increased by 37.5% year-over-year to 22,340, comprising 14,591 self-operated stores and 7,749 partnership stores.</w:t>
      </w:r>
    </w:p>
    <w:p>
      <w:pPr>
        <w:spacing w:after="0" w:line="11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Average monthly transacting customers </w:t>
      </w:r>
      <w:r>
        <w:rPr>
          <w:rFonts w:ascii="Times New Roman" w:cs="Times New Roman" w:eastAsia="Times New Roman" w:hAnsi="Times New Roman"/>
          <w:sz w:val="18"/>
          <w:szCs w:val="18"/>
          <w:color w:val="auto"/>
        </w:rPr>
        <w:t>were 71.8 million, representing a 48.5% year-over-year increase.</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were RMB25,591.7 million (US$3,506.7 million), representing a 43.1% year-over-year increase.</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was negative 16.7%, compared to 21.0% in fiscal year 2023.</w:t>
      </w:r>
    </w:p>
    <w:p>
      <w:pPr>
        <w:spacing w:after="0" w:line="18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Store-level operating profit – self-operated stores </w:t>
      </w:r>
      <w:r>
        <w:rPr>
          <w:rFonts w:ascii="Times New Roman" w:cs="Times New Roman" w:eastAsia="Times New Roman" w:hAnsi="Times New Roman"/>
          <w:sz w:val="18"/>
          <w:szCs w:val="18"/>
          <w:color w:val="auto"/>
        </w:rPr>
        <w:t>was RMB4,836.4 million (US$662.7 million), representing a 21.7% year-over-year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Store-level operating profit margin was 18.9%, compared to 22.2% in the fiscal year 2023.</w:t>
      </w:r>
    </w:p>
    <w:p>
      <w:pPr>
        <w:spacing w:after="0" w:line="11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RMB7,745.3 million (US$1,061.3 million), representing a 24.4% year-over-year increase.</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RMB3,538.1 million (US$484.8 million), representing a 16.9% year-over-year increase. GAAP operating margin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10.3%, compared to 12.1% in the fiscal year 2023.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which adjusts for share-based compensation expenses, was RMB3,902.9 million (US$534.8 million), representing a 19.5% year-over-year increase. Non-GAAP operating margin was 11.3%, compared to 13.1% in the fiscal year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 Jinyi Guo, Chairman and Chief Executive Officer of Luckin Coffee, said, “The year 2024 has been pivotal for us, demonstrating our robust growth and expanded leadership in the coffee industry amid a dynamic market environment. We delivered solid fourth quarter results, with same-store sales growth for self-operated stores notably improving to negative 3.4% from negative 13.1% in the prior quarter. More encouragingly, this metric turned positive in December 2024. Supported by our expanding customer base and extensive network of 22,340 stores, we recorded a strong 36.1% year-over-year revenue growth alongside a double-digit operating margin for the quarter. Looking ahead, we are strategically positioned to capitalize on the growth opportunities in China’s thriving coffee market, bolstered by our unparalleled scale and powerful supply chain, enabling us to consistently deliver innovative, high-quality products to our growing clientele.”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2024 FINANCIAL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were RMB9,613.3 million (US$1,317.2 million), representing an increase of 36.1% from RMB7,065.0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Net revenue growth was primarily driven by an increase in the number of products sold resulting from growth in (i) the number of stores in operation as well as (ii) monthly transacting customers.</w:t>
      </w:r>
    </w:p>
    <w:p>
      <w:pPr>
        <w:spacing w:after="0" w:line="171" w:lineRule="exact"/>
        <w:rPr>
          <w:sz w:val="20"/>
          <w:szCs w:val="20"/>
          <w:color w:val="auto"/>
        </w:rPr>
      </w:pPr>
    </w:p>
    <w:p>
      <w:pPr>
        <w:ind w:left="340" w:right="2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were RMB7,567.5 million (US$1,036.9 million), representing an increase of 42.7% from RMB5,301.2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2023.</w:t>
      </w:r>
    </w:p>
    <w:p>
      <w:pPr>
        <w:spacing w:after="0" w:line="15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freshly brewed drinks increased to RMB6,924.5 million (US$948.8 million) from RMB4,838.9 million in the same quarter of 2023. This revenue stream accounted for 72.0% of total net revenues, compared to 68.5% in the same quarter of 2023.</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 products increased to RMB496.0 million (US$68.0 million) from RMB326.3 million in the same quarter of 2023. This revenue stream accounted for 5.2% of total net revenues, compared to 4.6% in the same quarter of 2023.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others increased to RMB147.0 million (US$20.1 million) from RMB136.1 million in the same quarter of 2023. This revenue stream accounted for 1.5% of total net revenues, compared to 1.9% in the same quarter of 2023.</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were RMB2,045.8 million (US$280.3 million), representing an increase of 16.0% from RMB1,763.8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2023. This revenue stream accounted for 21.3% of total net revenues, compared to 25.0% in the same quarter of 2023. Revenues from partnership stores included sales of materials of RMB1,425.8 million (US$195.4 million), profit sharing of RMB233.5 million (US$32.0 million), delivery service fees of RMB214.0 million (US$29.3 million), sales of equipment of RMB152.5 million (US$20.9 million), and franchise and other service fees of RMB20.0 million (US$2.7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RMB8,618.3 million (US$1,180.9 million), representing an increase of 25.8% from RMB6,852.3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The increase primarily resulted from the Company’s business expansion. Meanwhile, operating expenses as a percentage of total net revenues was 89.6%, markedly lower than 97.0% in the same quarter of 2023. The improvement was mainly due to the decrease of cost of materials as a percentage of total net revenues as a result of the Company’s supply chain strength and product mix changes.</w:t>
      </w:r>
    </w:p>
    <w:p>
      <w:pPr>
        <w:spacing w:after="0" w:line="176" w:lineRule="exact"/>
        <w:rPr>
          <w:sz w:val="20"/>
          <w:szCs w:val="20"/>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materials </w:t>
      </w:r>
      <w:r>
        <w:rPr>
          <w:rFonts w:ascii="Times New Roman" w:cs="Times New Roman" w:eastAsia="Times New Roman" w:hAnsi="Times New Roman"/>
          <w:sz w:val="18"/>
          <w:szCs w:val="18"/>
          <w:color w:val="auto"/>
        </w:rPr>
        <w:t>were RMB3,847.2 million (US$527.2 million), representing an increase of 9.6% from RMB3,509.5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increase was mainly due to increases in (i) the number of products sold and (ii) sales of materials to partnership stores, partially offset by the decrease in costs related to sales of equipment to partnership stores as a result of a slower pace of net new store openings.</w:t>
      </w:r>
    </w:p>
    <w:p>
      <w:pPr>
        <w:spacing w:after="0" w:line="130" w:lineRule="exact"/>
        <w:rPr>
          <w:rFonts w:ascii="Times New Roman" w:cs="Times New Roman" w:eastAsia="Times New Roman" w:hAnsi="Times New Roman"/>
          <w:sz w:val="18"/>
          <w:szCs w:val="18"/>
          <w:color w:val="auto"/>
        </w:rPr>
      </w:pPr>
    </w:p>
    <w:p>
      <w:pPr>
        <w:jc w:val="both"/>
        <w:ind w:left="340" w:right="120" w:hanging="332"/>
        <w:spacing w:after="0" w:line="278" w:lineRule="auto"/>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Store rental and other operating costs </w:t>
      </w:r>
      <w:r>
        <w:rPr>
          <w:rFonts w:ascii="Times New Roman" w:cs="Times New Roman" w:eastAsia="Times New Roman" w:hAnsi="Times New Roman"/>
          <w:sz w:val="17"/>
          <w:szCs w:val="17"/>
          <w:color w:val="auto"/>
        </w:rPr>
        <w:t>were RMB2,372.3 million (US$325.1 million), representing an increase of 39.4% from RMB1,702.0 million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same quarter of 2023. The increase mainly resulted from the increased number of stores and items sold which led to year-over-year increases in</w:t>
      </w:r>
    </w:p>
    <w:p>
      <w:pPr>
        <w:spacing w:after="0" w:line="1" w:lineRule="exact"/>
        <w:rPr>
          <w:rFonts w:ascii="Times New Roman" w:cs="Times New Roman" w:eastAsia="Times New Roman" w:hAnsi="Times New Roman"/>
          <w:sz w:val="17"/>
          <w:szCs w:val="17"/>
          <w:color w:val="auto"/>
        </w:rPr>
      </w:pP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labor costs, (ii) store rental costs as well as (iii) utilities and other store operating costs.</w:t>
      </w:r>
    </w:p>
    <w:p>
      <w:pPr>
        <w:spacing w:after="0" w:line="162" w:lineRule="exact"/>
        <w:rPr>
          <w:rFonts w:ascii="Times New Roman" w:cs="Times New Roman" w:eastAsia="Times New Roman" w:hAnsi="Times New Roman"/>
          <w:sz w:val="17"/>
          <w:szCs w:val="17"/>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were RMB331.8 million (US$45.5 million), representing an increase of 59.3% from RMB208.3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quarter of 2023. The increase was mainly due to increases in (i) amortization of leasehold improvements for the stores and (ii) depreciation expenses of additional equipment put into use in new stores.</w:t>
      </w:r>
    </w:p>
    <w:p>
      <w:pPr>
        <w:spacing w:after="0" w:line="13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expenses </w:t>
      </w:r>
      <w:r>
        <w:rPr>
          <w:rFonts w:ascii="Times New Roman" w:cs="Times New Roman" w:eastAsia="Times New Roman" w:hAnsi="Times New Roman"/>
          <w:sz w:val="18"/>
          <w:szCs w:val="18"/>
          <w:color w:val="auto"/>
        </w:rPr>
        <w:t>were RMB838.7 million (US$114.9 million), representing an increase of 79.4% from RMB467.4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increase was mainly due to the increase in the number of delivery orders.</w:t>
      </w:r>
    </w:p>
    <w:p>
      <w:pPr>
        <w:spacing w:after="0" w:line="114"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were RMB572.9 million (US$78.5 million), representing an increase of 43.5% from RMB399.1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The increase was mainly driven by increases in (i) advertising and other promotion expenses as the Company continued to make strategic investments in its branding through various channels, and (ii) commissions to third-party food delivery platforms. Sales and marketing expenses as a percentage of total net revenues was 6.0%, compared to 5.6% in the same quarter of 2023.</w:t>
      </w:r>
    </w:p>
    <w:p>
      <w:pPr>
        <w:spacing w:after="0" w:line="135"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RMB637.6 million (US$87.4 million), representing an increase of 13.4% from RMB562.0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2023. The increase was mainly driven by increases in (i) research and development expenses, (ii) share-based compensation for restricted share units and options issued to management and employees, and (iii) professional fees, which was partially offset by decreases in payroll costs for general and administrative staff as well as in allowance provided for current expected credit loss. General and administrative expenses as a percentage of total net revenues was 6.6%, compared to 8.0% in the same quarter of 2023.</w:t>
      </w:r>
    </w:p>
    <w:p>
      <w:pPr>
        <w:spacing w:after="0" w:line="138"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preopening and other expenses </w:t>
      </w:r>
      <w:r>
        <w:rPr>
          <w:rFonts w:ascii="Times New Roman" w:cs="Times New Roman" w:eastAsia="Times New Roman" w:hAnsi="Times New Roman"/>
          <w:sz w:val="18"/>
          <w:szCs w:val="18"/>
          <w:color w:val="auto"/>
        </w:rPr>
        <w:t>were RMB13.6 million (US$1.9 million), representing a decrease of 70.1% from RMB45.5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The decrease was mainly due to fewer stores preparing to be opened compared to the same quarter of 2023. Store preopening and other expenses as a percentage of total net revenues was 0.1%, compared to 0.6% in the same quarter of 2023.</w:t>
      </w:r>
    </w:p>
    <w:p>
      <w:pPr>
        <w:spacing w:after="0" w:line="13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Losses and expenses related to Fabricated Transactions and Restructuring </w:t>
      </w:r>
      <w:r>
        <w:rPr>
          <w:rFonts w:ascii="Times New Roman" w:cs="Times New Roman" w:eastAsia="Times New Roman" w:hAnsi="Times New Roman"/>
          <w:sz w:val="18"/>
          <w:szCs w:val="18"/>
          <w:color w:val="auto"/>
        </w:rPr>
        <w:t>were RMB4.2 million (US$0.6 million), compared to negative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RMB41.5 million in the same period of 2023, as in the fourth quarter of 2023, the Company reversed approximately USD6.3 million (RMB44.7 million) previously accrued expenses following the settlement with certain underwriters relating to indemnification of defense costs, including but not limited to attorney’s fees and expenses incurred in connection with government inquiries and litigation relating to the Fabricated Transactions.</w:t>
      </w:r>
    </w:p>
    <w:p>
      <w:pPr>
        <w:spacing w:after="0" w:line="13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Store-level operating profit margin – self-operated stores </w:t>
      </w:r>
      <w:r>
        <w:rPr>
          <w:rFonts w:ascii="Times New Roman" w:cs="Times New Roman" w:eastAsia="Times New Roman" w:hAnsi="Times New Roman"/>
          <w:sz w:val="18"/>
          <w:szCs w:val="18"/>
          <w:color w:val="auto"/>
        </w:rPr>
        <w:t>was 19.6%, expanding by 610 basis points from 13.5% in the same quarter of 2023.</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GAAP operating income </w:t>
      </w:r>
      <w:r>
        <w:rPr>
          <w:rFonts w:ascii="Times New Roman" w:cs="Times New Roman" w:eastAsia="Times New Roman" w:hAnsi="Times New Roman"/>
          <w:sz w:val="18"/>
          <w:szCs w:val="18"/>
          <w:color w:val="auto"/>
        </w:rPr>
        <w:t>was RMB995.0 million (US$136.3 million), representing an increase of 367.8% from RMB212.7 million in the same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2023. GAAP operating margin increased by 740 basis points to 10.4% from 3.0% in the same quarter of 2023. </w:t>
      </w:r>
      <w:r>
        <w:rPr>
          <w:rFonts w:ascii="Times New Roman" w:cs="Times New Roman" w:eastAsia="Times New Roman" w:hAnsi="Times New Roman"/>
          <w:sz w:val="18"/>
          <w:szCs w:val="18"/>
          <w:b w:val="1"/>
          <w:bCs w:val="1"/>
          <w:color w:val="auto"/>
        </w:rPr>
        <w:t>Non-GAAP operating income</w:t>
      </w:r>
      <w:r>
        <w:rPr>
          <w:rFonts w:ascii="Times New Roman" w:cs="Times New Roman" w:eastAsia="Times New Roman" w:hAnsi="Times New Roman"/>
          <w:sz w:val="18"/>
          <w:szCs w:val="18"/>
          <w:color w:val="auto"/>
        </w:rPr>
        <w:t xml:space="preserve"> was RMB1,091.7 million (US$149.6 million), representing an increase of 300.0% from RMB272.9 million in the same quarter of 2023. Non-GAAP operating margin increased by 750 basis points to 11.4% from 3.9% in the same quarter of 2023. For more information on the Company’s non-GAAP financial measures, please see the section “Use of Non-GAAP Financial Measures” and the table captioned “Reconciliation of Non-GAAP Measures to the Most Directly Comparable GAAP Measures” set forth at the end of this press release.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 expenses </w:t>
      </w:r>
      <w:r>
        <w:rPr>
          <w:rFonts w:ascii="Times New Roman" w:cs="Times New Roman" w:eastAsia="Times New Roman" w:hAnsi="Times New Roman"/>
          <w:sz w:val="18"/>
          <w:szCs w:val="18"/>
          <w:color w:val="auto"/>
        </w:rPr>
        <w:t>were RMB144.5 million (US$19.8 million), compared to an income tax benefit of RMB31.3 million in the same quarter of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tax benefit in the same period of last year was mainly due to release of valuation allowance against deferred tax assets in certain operation entities. In accordance with relevant accounting standards, the Company continuously re-evaluates the realization of deferred tax assets by quarter given the largely reduced uncertainty of the Company’s business performance after a certain number of the Company’s operation entities have turned cumulative losses into cumulative profits.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RMB841.1 million (US$115.3 million), representing an increase of 183.8% from RMB296.4 million in the same quarter of 2023.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margin expanded by 450 basis points to 8.7% from 4.2% in the same quarter of 2023. </w:t>
      </w: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18"/>
          <w:szCs w:val="18"/>
          <w:color w:val="auto"/>
        </w:rPr>
        <w:t xml:space="preserve"> was RMB927.9 million (US$127.1 million), representing an increase of 164.3% from RMB351.1 million in the same quarter of 2023. Non-GAAP net margin expanded by 470 basis points to 9.7% from 5.0% in the same quarter of 2023.</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income per ADS </w:t>
      </w:r>
      <w:r>
        <w:rPr>
          <w:rFonts w:ascii="Times New Roman" w:cs="Times New Roman" w:eastAsia="Times New Roman" w:hAnsi="Times New Roman"/>
          <w:sz w:val="18"/>
          <w:szCs w:val="18"/>
          <w:color w:val="auto"/>
        </w:rPr>
        <w:t>was RMB2.64 (US$0.40) and RMB2.64 (US$0.40), respectively, compared to RMB0.96 and RMB0.96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quarter of 2023, respectively.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basic and diluted net income per ADS </w:t>
      </w:r>
      <w:r>
        <w:rPr>
          <w:rFonts w:ascii="Times New Roman" w:cs="Times New Roman" w:eastAsia="Times New Roman" w:hAnsi="Times New Roman"/>
          <w:sz w:val="18"/>
          <w:szCs w:val="18"/>
          <w:color w:val="auto"/>
        </w:rPr>
        <w:t>was RMB2.88 (US$0.40) and RMB2.88 (US$0.40), respectively, compared to RMB1.12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RMB1.12 in the same quarter of 2023, respectively.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w:t>
      </w:r>
      <w:r>
        <w:rPr>
          <w:rFonts w:ascii="Times New Roman" w:cs="Times New Roman" w:eastAsia="Times New Roman" w:hAnsi="Times New Roman"/>
          <w:sz w:val="18"/>
          <w:szCs w:val="18"/>
          <w:color w:val="auto"/>
        </w:rPr>
        <w:t>was RMB1,628.4 million (US$223.1 million), compared to net cash used in operating activities of RMB926.7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2023.</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restricted cash, term deposits and short-term investments </w:t>
      </w:r>
      <w:r>
        <w:rPr>
          <w:rFonts w:ascii="Times New Roman" w:cs="Times New Roman" w:eastAsia="Times New Roman" w:hAnsi="Times New Roman"/>
          <w:sz w:val="18"/>
          <w:szCs w:val="18"/>
          <w:color w:val="auto"/>
        </w:rPr>
        <w:t>were RMB5,934.2 million (US$813.1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2024, compared to RMB3,752.7 million as of December 31, 2023. The increase was primarily attributable to the cash inflow generated from the Company’s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24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 ended or as of</w:t>
            </w: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01"/>
        </w:trPr>
        <w:tc>
          <w:tcPr>
            <w:tcW w:w="2400" w:type="dxa"/>
            <w:vAlign w:val="bottom"/>
          </w:tcPr>
          <w:p>
            <w:pPr>
              <w:spacing w:after="0"/>
              <w:rPr>
                <w:sz w:val="17"/>
                <w:szCs w:val="17"/>
                <w:color w:val="auto"/>
              </w:rPr>
            </w:pPr>
          </w:p>
        </w:tc>
        <w:tc>
          <w:tcPr>
            <w:tcW w:w="1240" w:type="dxa"/>
            <w:vAlign w:val="bottom"/>
            <w:gridSpan w:val="2"/>
          </w:tcPr>
          <w:p>
            <w:pPr>
              <w:jc w:val="right"/>
              <w:ind w:right="480"/>
              <w:spacing w:after="0" w:line="201" w:lineRule="exact"/>
              <w:rPr>
                <w:sz w:val="20"/>
                <w:szCs w:val="20"/>
                <w:color w:val="auto"/>
              </w:rPr>
            </w:pPr>
            <w:r>
              <w:rPr>
                <w:rFonts w:ascii="Times New Roman" w:cs="Times New Roman" w:eastAsia="Times New Roman" w:hAnsi="Times New Roman"/>
                <w:sz w:val="18"/>
                <w:szCs w:val="18"/>
                <w:b w:val="1"/>
                <w:bCs w:val="1"/>
                <w:color w:val="auto"/>
              </w:rPr>
              <w:t>Jun 30,</w:t>
            </w:r>
          </w:p>
        </w:tc>
        <w:tc>
          <w:tcPr>
            <w:tcW w:w="1240" w:type="dxa"/>
            <w:vAlign w:val="bottom"/>
            <w:gridSpan w:val="2"/>
          </w:tcPr>
          <w:p>
            <w:pPr>
              <w:jc w:val="right"/>
              <w:ind w:right="500"/>
              <w:spacing w:after="0" w:line="201" w:lineRule="exact"/>
              <w:rPr>
                <w:sz w:val="20"/>
                <w:szCs w:val="20"/>
                <w:color w:val="auto"/>
              </w:rPr>
            </w:pPr>
            <w:r>
              <w:rPr>
                <w:rFonts w:ascii="Times New Roman" w:cs="Times New Roman" w:eastAsia="Times New Roman" w:hAnsi="Times New Roman"/>
                <w:sz w:val="18"/>
                <w:szCs w:val="18"/>
                <w:b w:val="1"/>
                <w:bCs w:val="1"/>
                <w:color w:val="auto"/>
              </w:rPr>
              <w:t>Sep 30,</w:t>
            </w:r>
          </w:p>
        </w:tc>
        <w:tc>
          <w:tcPr>
            <w:tcW w:w="1240" w:type="dxa"/>
            <w:vAlign w:val="bottom"/>
            <w:gridSpan w:val="2"/>
          </w:tcPr>
          <w:p>
            <w:pPr>
              <w:jc w:val="right"/>
              <w:ind w:right="480"/>
              <w:spacing w:after="0" w:line="201" w:lineRule="exact"/>
              <w:rPr>
                <w:sz w:val="20"/>
                <w:szCs w:val="20"/>
                <w:color w:val="auto"/>
              </w:rPr>
            </w:pPr>
            <w:r>
              <w:rPr>
                <w:rFonts w:ascii="Times New Roman" w:cs="Times New Roman" w:eastAsia="Times New Roman" w:hAnsi="Times New Roman"/>
                <w:sz w:val="18"/>
                <w:szCs w:val="18"/>
                <w:b w:val="1"/>
                <w:bCs w:val="1"/>
                <w:color w:val="auto"/>
              </w:rPr>
              <w:t>Dec 31,</w:t>
            </w:r>
          </w:p>
        </w:tc>
        <w:tc>
          <w:tcPr>
            <w:tcW w:w="130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 31,</w:t>
            </w:r>
          </w:p>
        </w:tc>
        <w:tc>
          <w:tcPr>
            <w:tcW w:w="1300" w:type="dxa"/>
            <w:vAlign w:val="bottom"/>
            <w:gridSpan w:val="2"/>
          </w:tcPr>
          <w:p>
            <w:pPr>
              <w:jc w:val="right"/>
              <w:ind w:right="540"/>
              <w:spacing w:after="0" w:line="201" w:lineRule="exact"/>
              <w:rPr>
                <w:sz w:val="20"/>
                <w:szCs w:val="20"/>
                <w:color w:val="auto"/>
              </w:rPr>
            </w:pPr>
            <w:r>
              <w:rPr>
                <w:rFonts w:ascii="Times New Roman" w:cs="Times New Roman" w:eastAsia="Times New Roman" w:hAnsi="Times New Roman"/>
                <w:sz w:val="18"/>
                <w:szCs w:val="18"/>
                <w:b w:val="1"/>
                <w:bCs w:val="1"/>
                <w:color w:val="auto"/>
              </w:rPr>
              <w:t>Jun 30,</w:t>
            </w:r>
          </w:p>
        </w:tc>
        <w:tc>
          <w:tcPr>
            <w:tcW w:w="1320" w:type="dxa"/>
            <w:vAlign w:val="bottom"/>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Sep 30,</w:t>
            </w:r>
          </w:p>
        </w:tc>
        <w:tc>
          <w:tcPr>
            <w:tcW w:w="960" w:type="dxa"/>
            <w:vAlign w:val="bottom"/>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Dec 31,</w:t>
            </w:r>
          </w:p>
        </w:tc>
        <w:tc>
          <w:tcPr>
            <w:tcW w:w="240" w:type="dxa"/>
            <w:vAlign w:val="bottom"/>
          </w:tcPr>
          <w:p>
            <w:pPr>
              <w:spacing w:after="0"/>
              <w:rPr>
                <w:sz w:val="17"/>
                <w:szCs w:val="17"/>
                <w:color w:val="auto"/>
              </w:rPr>
            </w:pPr>
          </w:p>
        </w:tc>
      </w:tr>
      <w:tr>
        <w:trPr>
          <w:trHeight w:val="238"/>
        </w:trPr>
        <w:tc>
          <w:tcPr>
            <w:tcW w:w="24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r>
      <w:tr>
        <w:trPr>
          <w:trHeight w:val="210"/>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10,836</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13,273</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16,248</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19,961</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21,343</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22,340</w:t>
            </w:r>
          </w:p>
        </w:tc>
        <w:tc>
          <w:tcPr>
            <w:tcW w:w="240" w:type="dxa"/>
            <w:vAlign w:val="bottom"/>
            <w:shd w:val="clear" w:color="auto" w:fill="CCEEFF"/>
          </w:tcPr>
          <w:p>
            <w:pPr>
              <w:spacing w:after="0"/>
              <w:rPr>
                <w:sz w:val="18"/>
                <w:szCs w:val="18"/>
                <w:color w:val="auto"/>
              </w:rPr>
            </w:pPr>
          </w:p>
        </w:tc>
      </w:tr>
      <w:tr>
        <w:trPr>
          <w:trHeight w:val="216"/>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Self-operated stores</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7,188</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8,807</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10,628</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12,199</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13,056</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13,936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14,591</w:t>
            </w:r>
          </w:p>
        </w:tc>
      </w:tr>
      <w:tr>
        <w:trPr>
          <w:trHeight w:val="216"/>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Partnership stores</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3,648</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4,466</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5,620</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6,391</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6,905</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7,407</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7,749</w:t>
            </w:r>
          </w:p>
        </w:tc>
      </w:tr>
      <w:tr>
        <w:trPr>
          <w:trHeight w:val="194"/>
        </w:trPr>
        <w:tc>
          <w:tcPr>
            <w:tcW w:w="240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Same-store sales growth for</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8"/>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self-operated stores</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13.5%</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(20.9)%</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194"/>
        </w:trPr>
        <w:tc>
          <w:tcPr>
            <w:tcW w:w="2400" w:type="dxa"/>
            <w:vAlign w:val="bottom"/>
            <w:shd w:val="clear" w:color="auto" w:fill="CCEEFF"/>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Average monthly transacting</w:t>
            </w: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38"/>
        </w:trPr>
        <w:tc>
          <w:tcPr>
            <w:tcW w:w="2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customers (in thousands)</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43,070</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58,477</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62,438</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59,914</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69,689</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79,846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77,766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include revenues from product sales and revenues from partnership stores.</w:t>
      </w:r>
    </w:p>
    <w:p>
      <w:pPr>
        <w:spacing w:after="0" w:line="18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product sales </w:t>
      </w:r>
      <w:r>
        <w:rPr>
          <w:rFonts w:ascii="Times New Roman" w:cs="Times New Roman" w:eastAsia="Times New Roman" w:hAnsi="Times New Roman"/>
          <w:sz w:val="18"/>
          <w:szCs w:val="18"/>
          <w:color w:val="auto"/>
        </w:rPr>
        <w:t>mainly include net revenue from the sales of freshly brewed and non-freshly brewed items through self-operated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unmanned machines, e-commerce and revenue from delivery for self-operated stores.</w:t>
      </w:r>
    </w:p>
    <w:p>
      <w:pPr>
        <w:spacing w:after="0" w:line="114"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from self-operated stores </w:t>
      </w:r>
      <w:r>
        <w:rPr>
          <w:rFonts w:ascii="Times New Roman" w:cs="Times New Roman" w:eastAsia="Times New Roman" w:hAnsi="Times New Roman"/>
          <w:sz w:val="18"/>
          <w:szCs w:val="18"/>
          <w:color w:val="auto"/>
        </w:rPr>
        <w:t>include net revenue from the sales of freshly brewed and non-freshly brewed items through self-operated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delivery fees derived from self-operated stores paid by the Company’s customers. Before the first quarter of 2023, revenues from self-operated stores only included net revenue from the sales of freshly brewed and non-freshly brewed items through self-operating stores, and beginning from the first quarter of 2023, we added delivery fees derived from self-operated stores paid by the Company’s customers to this definition.</w:t>
      </w:r>
    </w:p>
    <w:p>
      <w:pPr>
        <w:spacing w:after="0" w:line="13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from partnership stores </w:t>
      </w:r>
      <w:r>
        <w:rPr>
          <w:rFonts w:ascii="Times New Roman" w:cs="Times New Roman" w:eastAsia="Times New Roman" w:hAnsi="Times New Roman"/>
          <w:sz w:val="18"/>
          <w:szCs w:val="18"/>
          <w:color w:val="auto"/>
        </w:rPr>
        <w:t>include net revenue from the sales of materials, equipment, delivery services, profit sharing, franchise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from partnership stores.</w:t>
      </w:r>
    </w:p>
    <w:p>
      <w:pPr>
        <w:spacing w:after="0" w:line="114"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growth for self-operated stores. </w:t>
      </w:r>
      <w:r>
        <w:rPr>
          <w:rFonts w:ascii="Times New Roman" w:cs="Times New Roman" w:eastAsia="Times New Roman" w:hAnsi="Times New Roman"/>
          <w:sz w:val="18"/>
          <w:szCs w:val="18"/>
          <w:color w:val="auto"/>
        </w:rPr>
        <w:t>Defined as the growth rate of total revenue from self-operated stores that (i) were in operation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beginning of the comparable period and were not closed before the end of the current period and (ii) maintained an average of at least 15 operating days per month over both the current and comparable periods.</w:t>
      </w:r>
    </w:p>
    <w:p>
      <w:pPr>
        <w:spacing w:after="0" w:line="13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level operating profit – self-operated stores. </w:t>
      </w:r>
      <w:r>
        <w:rPr>
          <w:rFonts w:ascii="Times New Roman" w:cs="Times New Roman" w:eastAsia="Times New Roman" w:hAnsi="Times New Roman"/>
          <w:sz w:val="18"/>
          <w:szCs w:val="18"/>
          <w:color w:val="auto"/>
        </w:rPr>
        <w:t>Calculated by deducting cost for self-operated stores including cost of direct materials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wastage in stores), cost of delivery packaging materials, storage and logistics expenses, commissions to third-party delivery platforms related to revenues from self-operated stores, store depreciation expense (including decoration loss for store closure), store rental and other operating costs, delivery expense, transaction fees, store preopening and other expenses from the Company’s self-operated store revenues.</w:t>
      </w:r>
    </w:p>
    <w:p>
      <w:pPr>
        <w:spacing w:after="0" w:line="13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Store-level operating profit margin – self-operated stores. </w:t>
      </w:r>
      <w:r>
        <w:rPr>
          <w:rFonts w:ascii="Times New Roman" w:cs="Times New Roman" w:eastAsia="Times New Roman" w:hAnsi="Times New Roman"/>
          <w:sz w:val="18"/>
          <w:szCs w:val="18"/>
          <w:color w:val="auto"/>
        </w:rPr>
        <w:t>Calculated by dividing store-level operating profit by total revenues from self-operated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w:t>
      </w:r>
    </w:p>
    <w:p>
      <w:pPr>
        <w:spacing w:after="0" w:line="11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number of stores</w:t>
      </w:r>
      <w:r>
        <w:rPr>
          <w:rFonts w:ascii="Times New Roman" w:cs="Times New Roman" w:eastAsia="Times New Roman" w:hAnsi="Times New Roman"/>
          <w:sz w:val="18"/>
          <w:szCs w:val="18"/>
          <w:color w:val="auto"/>
        </w:rPr>
        <w:t>. The number of stores open at the ending of the period, excluding unmanned machines.</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The number of gross new stores opened during the period minus the number of stores permanently closed during the period.</w:t>
      </w:r>
    </w:p>
    <w:p>
      <w:pPr>
        <w:spacing w:after="0" w:line="18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Average monthly transacting customers</w:t>
      </w:r>
      <w:r>
        <w:rPr>
          <w:rFonts w:ascii="Times New Roman" w:cs="Times New Roman" w:eastAsia="Times New Roman" w:hAnsi="Times New Roman"/>
          <w:sz w:val="18"/>
          <w:szCs w:val="18"/>
          <w:color w:val="auto"/>
        </w:rPr>
        <w:t>. The total of each month’s number of transacting customers divided by the number of months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(includes those of partnership stores and those only paid with free-coupons).</w:t>
      </w:r>
    </w:p>
    <w:p>
      <w:pPr>
        <w:spacing w:after="0" w:line="11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operating income/(loss)</w:t>
      </w:r>
      <w:r>
        <w:rPr>
          <w:rFonts w:ascii="Times New Roman" w:cs="Times New Roman" w:eastAsia="Times New Roman" w:hAnsi="Times New Roman"/>
          <w:sz w:val="18"/>
          <w:szCs w:val="18"/>
          <w:color w:val="auto"/>
        </w:rPr>
        <w:t>. Calculated by operating income/(loss) excluding share-based compensation expenses.</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net income/(loss)</w:t>
      </w:r>
      <w:r>
        <w:rPr>
          <w:rFonts w:ascii="Times New Roman" w:cs="Times New Roman" w:eastAsia="Times New Roman" w:hAnsi="Times New Roman"/>
          <w:sz w:val="18"/>
          <w:szCs w:val="18"/>
          <w:color w:val="auto"/>
        </w:rPr>
        <w:t>. Calculated by net income/(loss) excluding recurring item of share-based compensation expenses, non-recurring item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for equity litigants, and income tax effects of GAAP to non-GAAP reconciling items. From the fourth quarter of 2024, the Company added income tax effects of GAAP to non-GAAP reconciling items when reconciling adjustments from GAAP to Non-GAAP net income/(loss). Comparative figures were also adjusted accordingly.</w:t>
      </w:r>
    </w:p>
    <w:p>
      <w:pPr>
        <w:spacing w:after="0" w:line="135"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income/(loss) attributable to the Company’s ordinary shareholders. </w:t>
      </w:r>
      <w:r>
        <w:rPr>
          <w:rFonts w:ascii="Times New Roman" w:cs="Times New Roman" w:eastAsia="Times New Roman" w:hAnsi="Times New Roman"/>
          <w:sz w:val="18"/>
          <w:szCs w:val="18"/>
          <w:color w:val="auto"/>
        </w:rPr>
        <w:t>Calculated by adjusting net income/(loss) attributable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ordinary shareholders excluding recurring item of share-based compensation expenses, non-recurring item of provision for equity litigants, and income tax effects of GAAP to non-GAAP reconciling items. From the fourth quarter of 2024, the Company added income tax effects of GAAP to non-GAAP reconciling items when reconciling adjustments from GAAP to Non-GAAP net income/(loss) attributable to the Company’s ordinary shareholders. Comparative figures were also adjusted accordingly.</w:t>
      </w:r>
    </w:p>
    <w:p>
      <w:pPr>
        <w:spacing w:after="0" w:line="138"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income/(loss) per shares. </w:t>
      </w:r>
      <w:r>
        <w:rPr>
          <w:rFonts w:ascii="Times New Roman" w:cs="Times New Roman" w:eastAsia="Times New Roman" w:hAnsi="Times New Roman"/>
          <w:sz w:val="18"/>
          <w:szCs w:val="18"/>
          <w:color w:val="auto"/>
        </w:rPr>
        <w:t>Calculated as non-GAAP net income/(loss) attributable to the Company’s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divided by weighted average number of basic and diluted share.</w:t>
      </w:r>
    </w:p>
    <w:p>
      <w:pPr>
        <w:spacing w:after="0" w:line="11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basic and diluted net income/(loss) per ADSs. </w:t>
      </w:r>
      <w:r>
        <w:rPr>
          <w:rFonts w:ascii="Times New Roman" w:cs="Times New Roman" w:eastAsia="Times New Roman" w:hAnsi="Times New Roman"/>
          <w:sz w:val="18"/>
          <w:szCs w:val="18"/>
          <w:color w:val="auto"/>
        </w:rPr>
        <w:t>Calculated as non-GAAP net income/(loss) attributable to the Company’s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divided by weighted average number of basic and diluted ADS.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business, the Company considers and uses non-GAAP operating income/(loss) and non-GAAP net income/(loss), each a non-GAAP financial measure, in reviewing and assessing the Company’s operating performance. The presentation of these non-GAAP financial measures is not intended to be considered in isolation or as a substitute for the financial information prepared and presented in accordance with U.S. GAAP. The Company presents these non-GAAP financial measures because they are used by the Company’s management to evaluate operating performance and formulate business plans. The Company believes that the non-GAAP financial measures help identify underlying trends in the Company’s business, provide further information about the Company’s results of operations and enhance the overall understanding of the Company’s past performance and future prospects.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The Company’s non-GAAP financial measures do not reflect all items of income and expense that affect the Company’s operations and do not represent the residual cash flow available for discretionary expenditures. Furthermore, these non-GAAP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 all of which should be considered when evaluating the Company’s performance. The Company encourages investors and others to review the Company’s financial information in its entirety and not rely on a single financial measure.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non-GAAP operating income/(loss) as operating income/(loss) excluding share-based compensation expenses, non-GAAP net income/(loss) as net income/(loss) excluding recurring item of share-based compensation expenses, non-recurring item of provision for equity litigants, and income tax effects of GAAP to non-GAAP reconciling items , and non-GAAP net income/(loss) attributable to the Company’s ordinary shareholders as net income/(loss) attributable to the Company’s ordinary shareholders excluding recurring item of share-based compensation expenses, non-recurring item of provision for equity litigants, and income tax effects of GAAP to non-GAAP reconciling items.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“Reconciliation of Non-GAAP Measures to the Most Directly Comparable GAAP Measures” set forth at the end of this earnings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earnings release contains translations of certain RMB amounts into U.S. dollars (“US$”) at specified rates solely for the convenience of the reader. Unless otherwise noted, all translations from RMB to US$ were made at the rate of RMB7.2980 to US$1.00, the exchange rate on December 27, 2024 set forth in the H.10 statistical release of the Federal Reserve Board. The Company makes no representation that the RMB or US$ amounts referred could be converted into US$ or RMB, as the case may be, at any particular rate or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today, on Thursday, February 20, 2025, at 8:00 am Eastern Time (or Thursday, February 20, 2025, at 9:00 pm Beijing Time) to discuss the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access the call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+1-888-317-6003</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+1-412-317-6061</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 Toll Free:</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400-120-6115</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Hong Kong Toll Free:</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800-963-976</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1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2917006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February 27, 2025,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+1-877-344-7529</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+1-412-317-0088</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Access Code:</w:t>
            </w:r>
          </w:p>
        </w:tc>
        <w:tc>
          <w:tcPr>
            <w:tcW w:w="1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5297842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also be available at the Company's investor relations website at </w:t>
      </w:r>
      <w:r>
        <w:rPr>
          <w:rFonts w:ascii="Times New Roman" w:cs="Times New Roman" w:eastAsia="Times New Roman" w:hAnsi="Times New Roman"/>
          <w:sz w:val="18"/>
          <w:szCs w:val="18"/>
          <w:u w:val="single" w:color="auto"/>
          <w:color w:val="auto"/>
        </w:rPr>
        <w:t>investor.lkcoffee.com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earnings release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the outcome and effect of the restructuring of Luckin Coffee’s financial obligations;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the coffee industry or the food and beverage sector in general; changes in its revenues and certain cost or expense items; the expected growth of China’s coffee industry or China’s food and beverage sector in general;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STATEMENT REGARDING PRELIMINARY UNAUDITED FINANCIAL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 Accordingly, you should not place undue reliance upon these preliminary estimates. The preliminary unaudited financial information included in this press release has been prepared by, and is the responsibility of, the Company’s management. The Company’s auditor has not audited, reviewed, compiled or applied agreed-upon procedures with respect to such preliminary financial data. Accordingly, the Company’s auditor does not express an opinion or any other form of assurance with respect thereto. Upon completion of the year-end audit, the Company’s audited financial results may differ materially from its preliminary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LUCKIN COFFEE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Luckin Coffee Inc. (OTC: LKNCY) has pioneered a technology-driven retail network to provide coffee and other products of high quality, high convenience and high affordability to customers. Empowered by proprietary technologies, Luckin Coffee pursues its mission to build a world-class coffee brand and become a part of everyone’s daily life. Luckin Coffee was founded in 2017 and is based in China. For more information, please visit investor.lkcoffee.com.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ir@lkcoffee.com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Zima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646 880 9039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Luckin Coffee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pr@lkcoffee.com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980" w:type="dxa"/>
            <w:vAlign w:val="bottom"/>
          </w:tcPr>
          <w:p>
            <w:pPr>
              <w:spacing w:after="0"/>
              <w:rPr>
                <w:sz w:val="17"/>
                <w:szCs w:val="17"/>
                <w:color w:val="auto"/>
              </w:rPr>
            </w:pPr>
          </w:p>
        </w:tc>
        <w:tc>
          <w:tcPr>
            <w:tcW w:w="148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80" w:type="dxa"/>
            <w:vAlign w:val="bottom"/>
            <w:gridSpan w:val="4"/>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8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2,925,709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4,362,309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597,740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66,080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3,781</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deposit- current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464,019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1,127,541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154,500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34,256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80,665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111,251</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online payment platforms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214,163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438,458</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60,079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2,204,000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2,473,393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338,914</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1,544,918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1,938,054</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265,560</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7,599,554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10,704,787</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1,466,811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4,169,141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5,065,903</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694,149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46,854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40,595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Term deposit-non current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20,554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789,492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929,165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127,318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350,082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271,601</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37,216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5,186,855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5,937,063</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813,519</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10,692,424</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12,394,327</w:t>
            </w:r>
          </w:p>
        </w:tc>
        <w:tc>
          <w:tcPr>
            <w:tcW w:w="2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1,698,318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18,291,978</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23,099,114</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3,165,129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borrowing</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41,107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814,655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738,677</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101,216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2,556,977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3,027,503</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414,840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123,422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153,248</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20,998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equity litigants settlement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116,314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119,560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16,383</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1,851,310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2,343,387</w:t>
            </w: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321,100</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5,462,678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6,682,375</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915,644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borrowing</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liabilities-non current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3,114,855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3,330,529</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456,362</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3,114,855</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3,364,129</w:t>
            </w:r>
          </w:p>
        </w:tc>
        <w:tc>
          <w:tcPr>
            <w:tcW w:w="2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460,966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8,577,533</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10,046,504</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Senior Preferred Shares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1,578,040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1,514,660</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207,545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16,276,991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16,705,240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2,289,016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168,204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365,927</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50,141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(8,705,759)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(5,971,779)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(818,276)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396,944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438,536</w:t>
            </w:r>
          </w:p>
        </w:tc>
        <w:tc>
          <w:tcPr>
            <w:tcW w:w="4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60,090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Company’s ordinary shareholders’ equity</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8,136,405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11,537,950</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1,580,974</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18,291,978</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23,099,114</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3,165,129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9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6" w:right="339" w:bottom="1149"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4100" w:type="dxa"/>
            <w:vAlign w:val="bottom"/>
            <w:gridSpan w:val="7"/>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w:t>
            </w:r>
          </w:p>
        </w:tc>
        <w:tc>
          <w:tcPr>
            <w:tcW w:w="398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product sales</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5,301,221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7,567,491</w:t>
            </w: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1,036,926</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18,677,390</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26,729,523</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3,662,582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partnership stores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1,763,750</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2,045,786</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280,321</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6,225,776</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7,745,291</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7,064,971</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9,613,277</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1,317,247</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24,903,166</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34,474,814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4,723,872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(3,509,485)</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(3,847,193)</w:t>
            </w:r>
          </w:p>
        </w:tc>
        <w:tc>
          <w:tcPr>
            <w:tcW w:w="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(527,157)</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(10,892,214)</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(14,115,299)</w:t>
            </w: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(1,934,133)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rental and other operating costs</w:t>
            </w:r>
          </w:p>
        </w:tc>
        <w:tc>
          <w:tcPr>
            <w:tcW w:w="1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(1,701,969)</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(2,372,304)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(325,062)</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(5,167,482)</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(8,540,683)</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(1,170,277)</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(208,324)</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(331,822)</w:t>
            </w:r>
          </w:p>
        </w:tc>
        <w:tc>
          <w:tcPr>
            <w:tcW w:w="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(45,468)</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(604,580)</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(1,190,037)</w:t>
            </w: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(163,063)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expenses</w:t>
            </w:r>
          </w:p>
        </w:tc>
        <w:tc>
          <w:tcPr>
            <w:tcW w:w="1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(467,363)</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(838,663)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(114,917)</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(2,010,699)</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(2,821,069)</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(386,554)</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(399,113)</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(572,893)</w:t>
            </w:r>
          </w:p>
        </w:tc>
        <w:tc>
          <w:tcPr>
            <w:tcW w:w="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(78,500)</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(1,286,523)</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(1,920,305)</w:t>
            </w: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(263,128)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(561,997)</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(637,570)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(87,362)</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(1,829,651)</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(2,420,462)</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(331,661)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Store preopening and other expenses</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(45,462)</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(13,580)</w:t>
            </w:r>
          </w:p>
        </w:tc>
        <w:tc>
          <w:tcPr>
            <w:tcW w:w="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(1,861)</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(109,685)</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(69,556)</w:t>
            </w: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(9,531)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(5,229)</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(8,925)</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Losses and expenses related to Fabricated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and Restructuring</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41,455</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(4,238)</w:t>
            </w:r>
          </w:p>
        </w:tc>
        <w:tc>
          <w:tcPr>
            <w:tcW w:w="80" w:type="dxa"/>
            <w:vAlign w:val="bottom"/>
          </w:tcPr>
          <w:p>
            <w:pPr>
              <w:spacing w:after="0"/>
              <w:rPr>
                <w:sz w:val="21"/>
                <w:szCs w:val="21"/>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28,515</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149,583</w:t>
            </w:r>
          </w:p>
        </w:tc>
        <w:tc>
          <w:tcPr>
            <w:tcW w:w="1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20,496</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(6,852,258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(8,618,263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(1,180,908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(21,877,548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(30,936,753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(4,239,074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212,713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995,014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136,339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3,025,618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3,538,061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484,798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31,358</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34,457</w:t>
            </w: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4,721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108,682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89,195</w:t>
            </w:r>
          </w:p>
        </w:tc>
        <w:tc>
          <w:tcPr>
            <w:tcW w:w="1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12,222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expenses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3,089</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(52,121)</w:t>
            </w:r>
          </w:p>
        </w:tc>
        <w:tc>
          <w:tcPr>
            <w:tcW w:w="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(7,142)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2,968</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(13,239)</w:t>
            </w: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17,974</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10,205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1,398</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62,283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84,161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equity litigants</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(92,192)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265,134</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985,638</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135,053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3,107,359</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3,694,254</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506,200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31,267</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(144,505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(259,426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(762,551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(104,488</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296,401</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841,133</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115,252</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2,847,933</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2,931,703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401,712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attributable to the</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1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Company’s ordinary shareholders</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296,401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841,133</w:t>
            </w:r>
          </w:p>
        </w:tc>
        <w:tc>
          <w:tcPr>
            <w:tcW w:w="80" w:type="dxa"/>
            <w:vAlign w:val="bottom"/>
          </w:tcPr>
          <w:p>
            <w:pPr>
              <w:spacing w:after="0"/>
              <w:rPr>
                <w:sz w:val="24"/>
                <w:szCs w:val="24"/>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115,252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2,847,933</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2,931,703</w:t>
            </w:r>
          </w:p>
        </w:tc>
        <w:tc>
          <w:tcPr>
            <w:tcW w:w="1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401,712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0.12</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0.05</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0.05</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0.96</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0.40</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8.96</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0.96</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0.40</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8.96</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4"/>
        </w:trPr>
        <w:tc>
          <w:tcPr>
            <w:tcW w:w="31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used in calculating basic and diluted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2,532,219,287</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2,547,212,673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2,547,212,673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2,532,109,710</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2,545,968,813</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2,545,968,813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2,532,343,852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2,549,183,737</w:t>
            </w: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2,549,183,737</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2,532,563,302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2,548,002,050</w:t>
            </w:r>
          </w:p>
        </w:tc>
        <w:tc>
          <w:tcPr>
            <w:tcW w:w="1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2,548,002,050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296,401</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841,133</w:t>
            </w:r>
          </w:p>
        </w:tc>
        <w:tc>
          <w:tcPr>
            <w:tcW w:w="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115,252</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2,847,933</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2,931,703</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401,712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of tax of nil:</w:t>
            </w: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 difference,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of tax of nil</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(2,766)</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103,435</w:t>
            </w:r>
          </w:p>
        </w:tc>
        <w:tc>
          <w:tcPr>
            <w:tcW w:w="8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14,173</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(360)</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41,592</w:t>
            </w: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293,635</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944,568</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129,425</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2,847,573</w:t>
            </w:r>
          </w:p>
        </w:tc>
        <w:tc>
          <w:tcPr>
            <w:tcW w:w="13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2,973,295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407,411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1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 to ordinary shareholders</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293,635</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944,568</w:t>
            </w:r>
          </w:p>
        </w:tc>
        <w:tc>
          <w:tcPr>
            <w:tcW w:w="80" w:type="dxa"/>
            <w:vAlign w:val="bottom"/>
          </w:tcPr>
          <w:p>
            <w:pPr>
              <w:spacing w:after="0"/>
              <w:rPr>
                <w:sz w:val="23"/>
                <w:szCs w:val="23"/>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129,425</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2,847,573</w:t>
            </w:r>
          </w:p>
        </w:tc>
        <w:tc>
          <w:tcPr>
            <w:tcW w:w="13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2,973,295</w:t>
            </w:r>
          </w:p>
        </w:tc>
        <w:tc>
          <w:tcPr>
            <w:tcW w:w="10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407,411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1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ordinary share indicators, which could have a rounding difference of absolute amount for not more than 0.04 per ADS.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308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9"/>
                <w:szCs w:val="19"/>
                <w:color w:val="auto"/>
              </w:rPr>
            </w:pPr>
          </w:p>
        </w:tc>
        <w:tc>
          <w:tcPr>
            <w:tcW w:w="17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5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60" w:type="dxa"/>
            <w:vAlign w:val="bottom"/>
          </w:tcPr>
          <w:p>
            <w:pPr>
              <w:spacing w:after="0"/>
              <w:rPr>
                <w:sz w:val="18"/>
                <w:szCs w:val="18"/>
                <w:color w:val="auto"/>
              </w:rPr>
            </w:pPr>
          </w:p>
        </w:tc>
        <w:tc>
          <w:tcPr>
            <w:tcW w:w="170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5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by/(used in) operating</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(926,746)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1,628,375</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223,125</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2,900,425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4,229,272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579,510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(176,073)</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(1,112,363)</w:t>
            </w:r>
          </w:p>
        </w:tc>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(152,420)</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(3,447,099)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(3,209,806)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(439,820)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33,600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4,604</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45,711</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exchange rate changes 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9,281</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7,398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14,976</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w:t>
            </w:r>
          </w:p>
        </w:tc>
      </w:tr>
      <w:tr>
        <w:trPr>
          <w:trHeight w:val="178"/>
        </w:trPr>
        <w:tc>
          <w:tcPr>
            <w:tcW w:w="32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increase/(decrease) in cash and cash</w:t>
            </w: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(1,102,328)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558,893</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76,581</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(539,276)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1,368,042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187,453</w:t>
            </w:r>
          </w:p>
        </w:tc>
      </w:tr>
      <w:tr>
        <w:trPr>
          <w:trHeight w:val="194"/>
        </w:trPr>
        <w:tc>
          <w:tcPr>
            <w:tcW w:w="32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4,140,971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3,847,792</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527,239</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3,577,919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3,038,643</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416,367</w:t>
            </w:r>
          </w:p>
        </w:tc>
      </w:tr>
      <w:tr>
        <w:trPr>
          <w:trHeight w:val="174"/>
        </w:trPr>
        <w:tc>
          <w:tcPr>
            <w:tcW w:w="32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and cash equivalents and restricted</w:t>
            </w: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3,038,643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4,406,685</w:t>
            </w:r>
          </w:p>
        </w:tc>
        <w:tc>
          <w:tcPr>
            <w:tcW w:w="3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603,820</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3,038,643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4,406,685</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603,820</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8"/>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of RMB and US$,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410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16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160" w:type="dxa"/>
            <w:vAlign w:val="bottom"/>
          </w:tcPr>
          <w:p>
            <w:pPr>
              <w:spacing w:after="0"/>
              <w:rPr>
                <w:sz w:val="18"/>
                <w:szCs w:val="18"/>
                <w:color w:val="auto"/>
              </w:rPr>
            </w:pP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44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Borders>
              <w:top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Non-GAAP operating income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212,713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995,014</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136,339</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3,025,618</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3,538,061</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484,798</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60,195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96,658</w:t>
            </w: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13,245</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239,506</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364,846</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49,992</w:t>
            </w:r>
          </w:p>
        </w:tc>
      </w:tr>
      <w:tr>
        <w:trPr>
          <w:trHeight w:val="20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272,908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1,091,672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149,584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3,265,124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3,902,907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534,790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Non-GAAP net income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296,401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841,133</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115,252</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2,847,933</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2,931,703</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401,712</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60,195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96,658</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13,245</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239,506</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364,846</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49,992</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equity litigants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92,192</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 effects of GAAP to non-</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GAAP reconciling items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(9,842)</w:t>
            </w:r>
          </w:p>
        </w:tc>
        <w:tc>
          <w:tcPr>
            <w:tcW w:w="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(1,349)</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351,067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927,949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127,148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3,174,102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3,286,707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450,355</w:t>
            </w:r>
          </w:p>
        </w:tc>
        <w:tc>
          <w:tcPr>
            <w:tcW w:w="100" w:type="dxa"/>
            <w:vAlign w:val="bottom"/>
            <w:tcBorders>
              <w:top w:val="single" w:sz="8" w:color="CCEEFF"/>
            </w:tcBorders>
            <w:shd w:val="clear" w:color="auto" w:fill="CCEEFF"/>
          </w:tcPr>
          <w:p>
            <w:pPr>
              <w:spacing w:after="0"/>
              <w:rPr>
                <w:sz w:val="18"/>
                <w:szCs w:val="18"/>
                <w:color w:val="auto"/>
              </w:rPr>
            </w:pPr>
          </w:p>
        </w:tc>
      </w:tr>
      <w:tr>
        <w:trPr>
          <w:trHeight w:val="174"/>
        </w:trPr>
        <w:tc>
          <w:tcPr>
            <w:tcW w:w="31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Non-GAAP net income attributable to</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5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Company’s ordinary shareholders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351,067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927,949</w:t>
            </w:r>
          </w:p>
        </w:tc>
        <w:tc>
          <w:tcPr>
            <w:tcW w:w="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127,148</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3,174,102</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3,286,707</w:t>
            </w:r>
          </w:p>
        </w:tc>
        <w:tc>
          <w:tcPr>
            <w:tcW w:w="1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450,355</w:t>
            </w:r>
          </w:p>
        </w:tc>
      </w:tr>
      <w:tr>
        <w:trPr>
          <w:trHeight w:val="210"/>
        </w:trPr>
        <w:tc>
          <w:tcPr>
            <w:tcW w:w="3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     Non-GAAP net income per share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used in calculating basic and diluted</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per share:</w:t>
            </w: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2,532,219,287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2,547,212,673</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2,547,212,673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2,532,109,710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2,545,968,813</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2,545,968,813</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2,532,343,852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2,549,183,737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2,549,183,737</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2,532,563,302</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2,548,002,050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2,548,002,050</w:t>
            </w:r>
          </w:p>
        </w:tc>
      </w:tr>
      <w:tr>
        <w:trPr>
          <w:trHeight w:val="216"/>
        </w:trPr>
        <w:tc>
          <w:tcPr>
            <w:tcW w:w="3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per share: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3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per ADS: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bl>
    <w:p>
      <w:pPr>
        <w:spacing w:after="0" w:line="198" w:lineRule="exact"/>
        <w:rPr>
          <w:sz w:val="20"/>
          <w:szCs w:val="20"/>
          <w:color w:val="auto"/>
        </w:rPr>
      </w:pPr>
    </w:p>
    <w:p>
      <w:pPr>
        <w:ind w:right="20" w:firstLine="10"/>
        <w:spacing w:after="0" w:line="282" w:lineRule="auto"/>
        <w:tabs>
          <w:tab w:leader="none" w:pos="1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eight Class A Ordinary Shares. The per ADS indicators are based on rounded results of corresponding per ordinary share indicators, which could have a rounding difference of absolute amount for not more than 0.04 per ADS.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2025-02-20T06:18:07Z</dcterms:created>
  <dcterms:modified xsi:type="dcterms:W3CDTF">2025-02-20T06:18:07Z</dcterms:modified>
</cp:coreProperties>
</file>