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0001992544</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835"/>
        </w:trPr>
        <w:tc>
          <w:tcPr>
            <w:tcW w:w="6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17F BLOCK A, TEFANG PORTMAN TOWER</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NO. 81 ZHANHONG ROAD, SIMING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Camel ZQ Ltd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Major shareholder with more than 5%</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right="16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line="261" w:lineRule="auto"/>
        <w:rPr>
          <w:sz w:val="20"/>
          <w:szCs w:val="20"/>
          <w:color w:val="auto"/>
        </w:rPr>
      </w:pPr>
      <w:r>
        <w:rPr>
          <w:rFonts w:ascii="Times New Roman" w:cs="Times New Roman" w:eastAsia="Times New Roman" w:hAnsi="Times New Roman"/>
          <w:sz w:val="21"/>
          <w:szCs w:val="21"/>
          <w:color w:val="auto"/>
        </w:rPr>
        <w:t>American Depositary Shares ( each representing 8 class A Ordinary Shares)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Tiger Brokers (Singappre)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Pte. Ltd.</w:t>
      </w:r>
    </w:p>
    <w:p>
      <w:pPr>
        <w:spacing w:after="0" w:line="230" w:lineRule="auto"/>
        <w:rPr>
          <w:sz w:val="20"/>
          <w:szCs w:val="20"/>
          <w:color w:val="auto"/>
        </w:rPr>
      </w:pPr>
      <w:r>
        <w:rPr>
          <w:rFonts w:ascii="Times New Roman" w:cs="Times New Roman" w:eastAsia="Times New Roman" w:hAnsi="Times New Roman"/>
          <w:sz w:val="22"/>
          <w:szCs w:val="22"/>
          <w:color w:val="auto"/>
        </w:rPr>
        <w:t>1 Raffles Place, #35-61,</w:t>
      </w:r>
    </w:p>
    <w:p>
      <w:pPr>
        <w:spacing w:after="0" w:line="231" w:lineRule="auto"/>
        <w:rPr>
          <w:sz w:val="20"/>
          <w:szCs w:val="20"/>
          <w:color w:val="auto"/>
        </w:rPr>
      </w:pPr>
      <w:r>
        <w:rPr>
          <w:rFonts w:ascii="Times New Roman" w:cs="Times New Roman" w:eastAsia="Times New Roman" w:hAnsi="Times New Roman"/>
          <w:sz w:val="22"/>
          <w:szCs w:val="22"/>
          <w:color w:val="auto"/>
        </w:rPr>
        <w:t>One Raffles</w:t>
      </w:r>
    </w:p>
    <w:p>
      <w:pPr>
        <w:spacing w:after="0" w:line="230" w:lineRule="auto"/>
        <w:rPr>
          <w:sz w:val="20"/>
          <w:szCs w:val="20"/>
          <w:color w:val="auto"/>
        </w:rPr>
      </w:pPr>
      <w:r>
        <w:rPr>
          <w:rFonts w:ascii="Times New Roman" w:cs="Times New Roman" w:eastAsia="Times New Roman" w:hAnsi="Times New Roman"/>
          <w:sz w:val="22"/>
          <w:szCs w:val="22"/>
          <w:color w:val="auto"/>
        </w:rPr>
        <w:t>Place Tower 2</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Singapore  U0  048616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2578132</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60302507.48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262724992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11/20/2024   PINK</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380" w:space="120"/>
            <w:col w:w="2280" w:space="80"/>
            <w:col w:w="638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4"/>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8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4"/>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4"/>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4"/>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 each</w:t>
            </w:r>
          </w:p>
        </w:tc>
        <w:tc>
          <w:tcPr>
            <w:tcW w:w="1100" w:type="dxa"/>
            <w:vAlign w:val="bottom"/>
          </w:tcPr>
          <w:p>
            <w:pPr>
              <w:spacing w:after="0"/>
              <w:rPr>
                <w:sz w:val="21"/>
                <w:szCs w:val="21"/>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Distributed by-</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Camel Humps</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8</w:t>
            </w:r>
          </w:p>
        </w:tc>
        <w:tc>
          <w:tcPr>
            <w:tcW w:w="110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9"/>
              </w:rPr>
              <w:t>19459459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03/02/2022 Cashless</w:t>
            </w:r>
          </w:p>
        </w:tc>
        <w:tc>
          <w:tcPr>
            <w:tcW w:w="0" w:type="dxa"/>
            <w:vAlign w:val="bottom"/>
          </w:tcPr>
          <w:p>
            <w:pPr>
              <w:spacing w:after="0"/>
              <w:rPr>
                <w:sz w:val="1"/>
                <w:szCs w:val="1"/>
                <w:color w:val="auto"/>
              </w:rPr>
            </w:pPr>
          </w:p>
        </w:tc>
      </w:tr>
      <w:tr>
        <w:trPr>
          <w:trHeight w:val="172"/>
        </w:trPr>
        <w:tc>
          <w:tcPr>
            <w:tcW w:w="1380" w:type="dxa"/>
            <w:vAlign w:val="bottom"/>
            <w:vMerge w:val="continue"/>
          </w:tcPr>
          <w:p>
            <w:pPr>
              <w:spacing w:after="0"/>
              <w:rPr>
                <w:sz w:val="14"/>
                <w:szCs w:val="14"/>
                <w:color w:val="auto"/>
              </w:rPr>
            </w:pPr>
          </w:p>
        </w:tc>
        <w:tc>
          <w:tcPr>
            <w:tcW w:w="2700" w:type="dxa"/>
            <w:vAlign w:val="bottom"/>
            <w:gridSpan w:val="2"/>
          </w:tcPr>
          <w:p>
            <w:pPr>
              <w:ind w:left="120"/>
              <w:spacing w:after="0" w:line="172" w:lineRule="exact"/>
              <w:rPr>
                <w:sz w:val="20"/>
                <w:szCs w:val="20"/>
                <w:color w:val="auto"/>
              </w:rPr>
            </w:pPr>
            <w:r>
              <w:rPr>
                <w:rFonts w:ascii="Times New Roman" w:cs="Times New Roman" w:eastAsia="Times New Roman" w:hAnsi="Times New Roman"/>
                <w:sz w:val="13"/>
                <w:szCs w:val="13"/>
                <w:color w:val="auto"/>
              </w:rPr>
              <w:t xml:space="preserve">03/02/2022 </w:t>
            </w:r>
            <w:r>
              <w:rPr>
                <w:rFonts w:ascii="Times New Roman" w:cs="Times New Roman" w:eastAsia="Times New Roman" w:hAnsi="Times New Roman"/>
                <w:sz w:val="19"/>
                <w:szCs w:val="19"/>
                <w:color w:val="auto"/>
                <w:vertAlign w:val="subscript"/>
              </w:rPr>
              <w:t>kind</w:t>
            </w:r>
          </w:p>
        </w:tc>
        <w:tc>
          <w:tcPr>
            <w:tcW w:w="1560" w:type="dxa"/>
            <w:vAlign w:val="bottom"/>
          </w:tcPr>
          <w:p>
            <w:pPr>
              <w:ind w:left="160"/>
              <w:spacing w:after="0" w:line="172" w:lineRule="exact"/>
              <w:rPr>
                <w:sz w:val="20"/>
                <w:szCs w:val="20"/>
                <w:color w:val="auto"/>
              </w:rPr>
            </w:pPr>
            <w:r>
              <w:rPr>
                <w:rFonts w:ascii="Times New Roman" w:cs="Times New Roman" w:eastAsia="Times New Roman" w:hAnsi="Times New Roman"/>
                <w:sz w:val="19"/>
                <w:szCs w:val="19"/>
                <w:color w:val="auto"/>
              </w:rPr>
              <w:t>Limited</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line="230" w:lineRule="auto"/>
        <w:rPr>
          <w:sz w:val="20"/>
          <w:szCs w:val="20"/>
          <w:color w:val="auto"/>
        </w:rPr>
      </w:pPr>
      <w:r>
        <w:rPr>
          <w:rFonts w:ascii="Times New Roman" w:cs="Times New Roman" w:eastAsia="Times New Roman" w:hAnsi="Times New Roman"/>
          <w:sz w:val="22"/>
          <w:szCs w:val="22"/>
          <w:color w:val="auto"/>
        </w:rPr>
        <w:t>class A</w:t>
      </w:r>
    </w:p>
    <w:p>
      <w:pPr>
        <w:ind w:left="40"/>
        <w:spacing w:after="0" w:line="231" w:lineRule="auto"/>
        <w:rPr>
          <w:sz w:val="20"/>
          <w:szCs w:val="20"/>
          <w:color w:val="auto"/>
        </w:rPr>
      </w:pPr>
      <w:r>
        <w:rPr>
          <w:rFonts w:ascii="Times New Roman" w:cs="Times New Roman" w:eastAsia="Times New Roman" w:hAnsi="Times New Roman"/>
          <w:sz w:val="22"/>
          <w:szCs w:val="22"/>
          <w:color w:val="auto"/>
        </w:rPr>
        <w:t>Ordinary</w:t>
      </w: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90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Remarks    Camel ZQ Limited expects to sell shares from November 20, 2024, to December 09, 2024.</w:t>
            </w: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8100" w:type="dxa"/>
            <w:vAlign w:val="bottom"/>
            <w:vMerge w:val="restart"/>
          </w:tcPr>
          <w:p>
            <w:pPr>
              <w:jc w:val="right"/>
              <w:ind w:right="6752"/>
              <w:spacing w:after="0"/>
              <w:rPr>
                <w:sz w:val="20"/>
                <w:szCs w:val="20"/>
                <w:color w:val="auto"/>
              </w:rPr>
            </w:pPr>
            <w:r>
              <w:rPr>
                <w:rFonts w:ascii="Times New Roman" w:cs="Times New Roman" w:eastAsia="Times New Roman" w:hAnsi="Times New Roman"/>
                <w:sz w:val="22"/>
                <w:szCs w:val="22"/>
                <w:color w:val="auto"/>
              </w:rPr>
              <w:t>11/20/2024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8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8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Dandan Wu as a duly authorized representative of Tiger Brokers (Singapore) Pte Ltd. as attorney-infact for client</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Camel ZQ Limited.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2024-11-20T08:49:53Z</dcterms:created>
  <dcterms:modified xsi:type="dcterms:W3CDTF">2024-11-20T08:49:53Z</dcterms:modified>
</cp:coreProperties>
</file>