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74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60" w:type="dxa"/>
            <w:vAlign w:val="bottom"/>
          </w:tcPr>
          <w:p>
            <w:pPr>
              <w:spacing w:after="0"/>
              <w:rPr>
                <w:sz w:val="24"/>
                <w:szCs w:val="24"/>
                <w:color w:val="auto"/>
              </w:rPr>
            </w:pPr>
          </w:p>
        </w:tc>
        <w:tc>
          <w:tcPr>
            <w:tcW w:w="874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874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156845</wp:posOffset>
            </wp:positionV>
            <wp:extent cx="98552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First Quarter 2026 Financial Results and Share Repurchase Program</w:t>
      </w:r>
    </w:p>
    <w:p>
      <w:pPr>
        <w:spacing w:after="0" w:line="227"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First Quarter Net Revenues Increased by 35.3% Year-over-Year to RMB12.0 billion First Quarter Average Monthly Transacting Customers Increased by 25.3% Year-over-Year to 93.1 million 2,548 Net New Store Openings; Ended Quarter with 33,596 Stores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April 29, 2026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400" w:hanging="325"/>
        <w:spacing w:after="0"/>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RMB11,995.5 million (US$1,735.6 million), representing a 35.3% year-over-year increase.</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2,548, comprising 2,531 stores in China (including in Hong Kong), one store in Singapore, 13 stores in Malaysia and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33,596 at the first quarter end, comprising 21,807 self-operated stores and 11,789 partnership stores, which represented a store unit growth of 8.2% from the total store count as of the end of fourth quarter of 2025.</w:t>
      </w:r>
    </w:p>
    <w:p>
      <w:pPr>
        <w:spacing w:after="0" w:line="170"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93.1 million, representing a 25.3% year-over-year increase.</w:t>
      </w:r>
    </w:p>
    <w:p>
      <w:pPr>
        <w:spacing w:after="0" w:line="22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RMB8,592.1 million (US$1,243.1 million), representing a 32.6% year-over-year increase.</w:t>
      </w:r>
    </w:p>
    <w:p>
      <w:pPr>
        <w:spacing w:after="0" w:line="225"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negative 0.1%, compared to 9.2% in the same quarter of 2025.</w:t>
      </w:r>
    </w:p>
    <w:p>
      <w:pPr>
        <w:spacing w:after="0" w:line="225"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RMB1,169.4 million (US$169.2 million), representing a 5.9% year-over-year increase.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operating margin was 13.6%, compared to 17.0% in the same quarter of 2025.</w:t>
      </w:r>
    </w:p>
    <w:p>
      <w:pPr>
        <w:spacing w:after="0" w:line="154"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RMB3,015.3 million (US$436.3 million), representing a 44.9% year-over-year increase.</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RMB715.9 million (US$103.6 million), compared to RMB735.2 million in the same quarter of 2025. 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was 6.0%, compared to 8.3% in the same quarter of 2025.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which adjusts for share-based compensation expenses, was RMB898.0 million (US$129.9 million), representing a 4.1% year-over-year increase. Non-GAAP operating margin was 7.5%, compared to 9.7% in the same quarter of 2025.</w:t>
      </w: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Jinyi Guo, Co-founder and CEO of Luckin Coffee, said, “We delivered a solid start to 2026, supported by disciplined execution of our high-quality, scaled growth strategy. Amid an evolving competitive landscape, we leveraged our end-to-end digital capabilities to expand our store network, grow our customer base, drive consumption, and strengthen our supply chain. We believe our system-wide competitive advantages position us well to navigate near-term volatility and deliver sustained growth and profitability over the long term. Grounded in our solid fundamentals and strong confidence in our strategy and long-term prospects, we are pleased to announce our first share repurchase program of up to US$300 million over a one-year period, reaffirming our commitment to enhancing shareholder returns and creating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5" w:lineRule="exact"/>
        <w:rPr>
          <w:sz w:val="20"/>
          <w:szCs w:val="20"/>
          <w:color w:val="auto"/>
        </w:rPr>
      </w:pPr>
    </w:p>
    <w:p>
      <w:pPr>
        <w:ind w:left="5580" w:right="3460" w:hanging="5572"/>
        <w:spacing w:after="0" w:line="623"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RMB11,995.5 million (US$1,735.6 million), representing an increase of 35.3% from RMB8,865.4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Net revenue growth was primarily driven by a 35.8% year-over-year increase in GMV, which reached RMB14.1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80" w:right="20" w:hanging="318"/>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RMB8,980.2 million (US$1,299.3 million), representing an increase of 32.4% from RMB6,784.6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2025.</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RMB8,256.9 million (US$1,194.6 million) from RMB6,162.7 million in the same quarter of 2025. This revenue stream accounted for 68.8% of total net revenues, compared to 69.5% in the same quarter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RMB566.1 million (US$81.9 million) from RMB476.8 million in the same quarter of 2025. This revenue stream accounted for 4.7% of total net revenues, compared to 5.4% in the same quarter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RMB157.2 million (US$22.7 million) from RMB145.1 million in the same quarter of 2025. This revenue stream accounted for 1.4% of total net revenues, compared to 1.6% in the same quarter of 2025.</w:t>
      </w:r>
    </w:p>
    <w:p>
      <w:pPr>
        <w:spacing w:after="0" w:line="157" w:lineRule="exact"/>
        <w:rPr>
          <w:rFonts w:ascii="Times New Roman" w:cs="Times New Roman" w:eastAsia="Times New Roman" w:hAnsi="Times New Roman"/>
          <w:sz w:val="18"/>
          <w:szCs w:val="18"/>
          <w:color w:val="auto"/>
        </w:rPr>
      </w:pPr>
    </w:p>
    <w:p>
      <w:pPr>
        <w:jc w:val="both"/>
        <w:ind w:left="380" w:hanging="318"/>
        <w:spacing w:after="0" w:line="259"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RMB3,015.3 million (US$436.3 million), representing an increase of 44.9% from RMB2,080.8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This revenue stream accounted for 25.1% of total net revenues, compared to 23.5% in the same quarter of 2025. Revenues from partnership stores included sales of materials of RMB1,978.7 million (US$286.3 million), profit sharing and royalty fee of RMB371.5 million (US$53.8 million), delivery service fees of RMB453.3 million (US$65.6 million), sales of equipment of RMB188.0 million (US$27.2 million), and franchise and other service fees of RMB23.7 million (US$3.4 million).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RMB11,279.6 million (US$1,632.0 million), representing an increase of 38.7% from RMB8,130.2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increase primarily resulted from the Company’s business expansion. Meanwhile, operating expenses as a percentage of total net revenues was 94.0%, compared to 91.7% in the same quarter of 2025. The ratio change was primarily attributable to rising delivery expenses as a percentage of total net revenues due to the increase in delivery orders.</w:t>
      </w:r>
    </w:p>
    <w:p>
      <w:pPr>
        <w:spacing w:after="0" w:line="176" w:lineRule="exact"/>
        <w:rPr>
          <w:sz w:val="20"/>
          <w:szCs w:val="20"/>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RMB4,853.9 million (US$702.3 million), representing an increase of 35.8% from RMB3,575.0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 was mainly due to increases in (i) the number of products sold and (ii) sales of materials to partnership stores.</w:t>
      </w:r>
    </w:p>
    <w:p>
      <w:pPr>
        <w:spacing w:after="0" w:line="154" w:lineRule="exact"/>
        <w:rPr>
          <w:rFonts w:ascii="Times New Roman" w:cs="Times New Roman" w:eastAsia="Times New Roman" w:hAnsi="Times New Roman"/>
          <w:sz w:val="18"/>
          <w:szCs w:val="18"/>
          <w:color w:val="auto"/>
        </w:rPr>
      </w:pPr>
    </w:p>
    <w:p>
      <w:pPr>
        <w:jc w:val="both"/>
        <w:ind w:left="380" w:hanging="318"/>
        <w:spacing w:after="0" w:line="263"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RMB3,060.9 million (US$442.9 million), representing an increase of 31.4% from RMB2,329.1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2025. The increase mainly resulted from the increased number of stores and items sold which led to year-over-year increases in</w:t>
      </w: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202"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RMB451.6 million (US$65.3 million), representing an increase of 33.7% from RMB337.8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The increase was mainly due to increases in (i) amortization of leasehold improvements for stores and (ii) depreciation expenses associated with additional equipment placed into service in stores following business expansion.</w:t>
      </w:r>
    </w:p>
    <w:p>
      <w:pPr>
        <w:spacing w:after="0" w:line="170"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RMB1,307.9 million (US$189.2 million), representing an increase of 89.8% from RMB689.0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significant increase was mainly driven by the rise in delivery volumes from the third-party platforms.</w:t>
      </w:r>
    </w:p>
    <w:p>
      <w:pPr>
        <w:spacing w:after="0" w:line="154"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RMB732.4 million (US$106.0 million), representing an increase of 47.5% from RMB496.4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increase was mainly driven by increases in (i) advertising and other promotion expenses, (ii) commissions to third-party food delivery and live streaming platforms. Sales and marketing expenses as a percentage of total net revenues was 6.1%, compared to 5.6% in the same quarter of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380" w:hanging="318"/>
        <w:spacing w:after="0" w:line="26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RMB850.8 million (US$123.1 million), representing an increase of 24.9% from RMB681.2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The increase was mainly driven by increases in (i) payroll costs for general and administrative staff, (ii) share-based compensation for management and employees, and (iii) research and development expenses. General and administrative expenses as a percentage of total net revenues was 7.1%, compared to 7.7% in the same quarter of 2025.</w:t>
      </w:r>
    </w:p>
    <w:p>
      <w:pPr>
        <w:spacing w:after="0" w:line="176"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RMB21.6 million (US$3.1 million), representing an increase of 49.9% from RMB14.4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2025. The increase was mainly due to a higher number of stores in the pre-opening stage compared to the same quarter of 2025. Store preopening and other expenses as a percentage of total net revenues was 0.2%, compared to 0.2% in the same quarter of 2025.</w:t>
      </w:r>
    </w:p>
    <w:p>
      <w:pPr>
        <w:spacing w:after="0" w:line="170"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RMB0.5 million (US$0.08 million), compared to RMB3.3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w:t>
      </w:r>
    </w:p>
    <w:p>
      <w:pPr>
        <w:spacing w:after="0" w:line="154"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was 13.6%, compared to 17.0% in the same quarter of 2025.</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RMB715.9 million (US$103.6 million), compared to RMB735.2 million in the same quarter of 2025. 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was 6.0%, compared to 8.3% in the same quarter of 2025.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RMB898.0 million (US$129.9 million), representing an increase of 4.1% from RMB862.4 million in the same quarter of 2025. Non-GAAP operating margin was 7.5%, compared to 9.7% in the same quarter of 2025.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RMB265.7 million (US$38.4 million), compared to RMB249.5 million in the same quarter of 2025.</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RMB506.1 million (US$73.2 million), compared to RMB523.6 million in the same quarter of 2025. Net margin was 4.2%,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5.9% in the same quarter of 2025.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RMB686.5 million (US$99.3 million), compared to RMB647.9 million in the same quarter of 2025. Non-GAAP net margin was 5.7%, compared to 7.3% in the same quarter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RMB1.60 (US$0.24) and RMB1.60 (US$0.24), respectively, compared to RMB1.60 and RMB1.60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2025,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RMB2.16 (US$0.32) and RMB2.08 (US$0.32), respectively, compared to RMB2.00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RMB2.00 in the same quarter of 2025,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RMB790.7 million (US$114.4 million), compared to RMB896.6 million in the same quarter of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RMB9,054.6 million (US$1,310.1 million) as of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compared to RMB8,964.4 million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of Luckin Coffee has authorized a share repurchase program under which, the Company may repurchase up to US$300 million of its Class A ordinary shares in the form of American depositary shares, subject to the relevant rules under the Securities Exchange Act of 1934, as amended (the “Exchange Act”), and the Company’s insider trading policy.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 repurchases, if any, under the share repurchase program may be made from time to time on the open market at prevailing market prices, in open-market transactions, privately negotiated transactions or block trades, and/or through other legally permissible means, depending on market conditions and in accordance with the applicable rules and regulations. The timing and conditions of the share repurchases will be subject to various factors including the requirements under Rule 10b-18 and Rule 10b5-1 of the Exchange Act. The Company’s board of directors will review the share repurchase program periodically and may authorize adjustments to its terms and size or suspend or discontinue the program. The Company expects to utilize its existing funds to fund repurchases made under this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repurchase program is effective upon and from the date on which a formal stock repurchase plan engagement agreement is signed with a qualified broker-dealer(s), and terminates over a twelve-month period depending upon market and economic conditions, and other factors including price, legal and regulatory requirements and capital availability. The share repurchase program does not obligate Luckin Coffee to acquire any particular number of American depositary shares, and the share repurchase program may be modified or suspended at any time at the management's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51"/>
        </w:trPr>
        <w:tc>
          <w:tcPr>
            <w:tcW w:w="2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or as of</w:t>
            </w: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01"/>
        </w:trPr>
        <w:tc>
          <w:tcPr>
            <w:tcW w:w="2420" w:type="dxa"/>
            <w:vAlign w:val="bottom"/>
          </w:tcPr>
          <w:p>
            <w:pPr>
              <w:spacing w:after="0"/>
              <w:rPr>
                <w:sz w:val="17"/>
                <w:szCs w:val="17"/>
                <w:color w:val="auto"/>
              </w:rPr>
            </w:pPr>
          </w:p>
        </w:tc>
        <w:tc>
          <w:tcPr>
            <w:tcW w:w="128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130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124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26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1260" w:type="dxa"/>
            <w:vAlign w:val="bottom"/>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126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980" w:type="dxa"/>
            <w:vAlign w:val="bottom"/>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240" w:type="dxa"/>
            <w:vAlign w:val="bottom"/>
          </w:tcPr>
          <w:p>
            <w:pPr>
              <w:spacing w:after="0"/>
              <w:rPr>
                <w:sz w:val="17"/>
                <w:szCs w:val="17"/>
                <w:color w:val="auto"/>
              </w:rPr>
            </w:pPr>
          </w:p>
        </w:tc>
      </w:tr>
      <w:tr>
        <w:trPr>
          <w:trHeight w:val="238"/>
        </w:trPr>
        <w:tc>
          <w:tcPr>
            <w:tcW w:w="24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r>
      <w:tr>
        <w:trPr>
          <w:trHeight w:val="209"/>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33,596</w:t>
            </w:r>
          </w:p>
        </w:tc>
        <w:tc>
          <w:tcPr>
            <w:tcW w:w="24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13,936</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14,591</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15,598</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16,968</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18,882</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20,234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21,807</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7,407</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8,499</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9,238</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10,332</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10,814</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11,789</w:t>
            </w:r>
          </w:p>
        </w:tc>
      </w:tr>
      <w:tr>
        <w:trPr>
          <w:trHeight w:val="194"/>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Same-store sales growth for</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self-operated stores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194"/>
        </w:trPr>
        <w:tc>
          <w:tcPr>
            <w:tcW w:w="2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transacting</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customers (in thousands)</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74,272</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91,697</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112,295</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98,351</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93,089</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131" w:lineRule="exact"/>
        <w:rPr>
          <w:sz w:val="20"/>
          <w:szCs w:val="20"/>
          <w:color w:val="auto"/>
        </w:rPr>
      </w:pPr>
    </w:p>
    <w:p>
      <w:pPr>
        <w:ind w:left="380" w:right="2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154"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14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e-commerce and revenue from delivery for self-operated stores.</w:t>
      </w:r>
    </w:p>
    <w:p>
      <w:pPr>
        <w:spacing w:after="0" w:line="15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73"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73" w:lineRule="exact"/>
        <w:rPr>
          <w:rFonts w:ascii="Times New Roman" w:cs="Times New Roman" w:eastAsia="Times New Roman" w:hAnsi="Times New Roman"/>
          <w:sz w:val="18"/>
          <w:szCs w:val="18"/>
          <w:b w:val="1"/>
          <w:bCs w:val="1"/>
          <w:color w:val="auto"/>
        </w:rPr>
      </w:pPr>
    </w:p>
    <w:p>
      <w:pPr>
        <w:jc w:val="both"/>
        <w:ind w:left="380" w:hanging="318"/>
        <w:spacing w:after="0" w:line="25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year-over-year growth rate of total revenues from self-operated stores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as qualifying on a monthly basis, meaning stores that were in operation at the beginning of the comparable month and remained open through the end of the current month. Same-store sales growth is calculated by dividing the sum of each current month’s revenue from qualified self-operated stores by the sum of each comparable month’s revenue from those same qualified self-operated stores. Beginning in the first quarter of 2026, we adjusted this definition to better reflect the sales growth of our self-operated stores. Comparative figures from previous periods presented have been adjusted to conform to the updated definition.</w:t>
      </w:r>
    </w:p>
    <w:p>
      <w:pPr>
        <w:spacing w:after="0" w:line="101"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9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margin – self-operated stores. </w:t>
      </w:r>
      <w:r>
        <w:rPr>
          <w:rFonts w:ascii="Times New Roman" w:cs="Times New Roman" w:eastAsia="Times New Roman" w:hAnsi="Times New Roman"/>
          <w:sz w:val="18"/>
          <w:szCs w:val="18"/>
          <w:color w:val="auto"/>
        </w:rPr>
        <w:t>Calculated by dividing store-level operating profit by total revenues from self-operated stores.</w:t>
      </w:r>
    </w:p>
    <w:p>
      <w:pPr>
        <w:spacing w:after="0" w:line="144"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ending of the period.</w:t>
      </w:r>
    </w:p>
    <w:p>
      <w:pPr>
        <w:spacing w:after="0" w:line="144"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14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73"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income/(loss)</w:t>
      </w:r>
      <w:r>
        <w:rPr>
          <w:rFonts w:ascii="Times New Roman" w:cs="Times New Roman" w:eastAsia="Times New Roman" w:hAnsi="Times New Roman"/>
          <w:sz w:val="18"/>
          <w:szCs w:val="18"/>
          <w:color w:val="auto"/>
        </w:rPr>
        <w:t>. Calculated by operating income/(loss) excluding share-based compensation expenses.</w:t>
      </w:r>
    </w:p>
    <w:p>
      <w:pPr>
        <w:spacing w:after="0" w:line="14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income/(loss)</w:t>
      </w:r>
      <w:r>
        <w:rPr>
          <w:rFonts w:ascii="Times New Roman" w:cs="Times New Roman" w:eastAsia="Times New Roman" w:hAnsi="Times New Roman"/>
          <w:sz w:val="18"/>
          <w:szCs w:val="18"/>
          <w:color w:val="auto"/>
        </w:rPr>
        <w:t>. Calculated by net income/(loss) excluding recurring item of share-based compensation expenses and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effects of GAAP to non-GAAP reconciling items.</w:t>
      </w:r>
    </w:p>
    <w:p>
      <w:pPr>
        <w:spacing w:after="0" w:line="60"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income/(loss) attributable to the Company’s ordinary shareholders. </w:t>
      </w:r>
      <w:r>
        <w:rPr>
          <w:rFonts w:ascii="Times New Roman" w:cs="Times New Roman" w:eastAsia="Times New Roman" w:hAnsi="Times New Roman"/>
          <w:sz w:val="18"/>
          <w:szCs w:val="18"/>
          <w:color w:val="auto"/>
        </w:rPr>
        <w:t>Calculated by adjusting net income/(loss) attributable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ordinary shareholders excluding recurring item of share-based compensation expenses and income tax effects of GAAP to non-GAAP reconciling items.</w:t>
      </w:r>
    </w:p>
    <w:p>
      <w:pPr>
        <w:spacing w:after="0" w:line="89" w:lineRule="exact"/>
        <w:rPr>
          <w:rFonts w:ascii="Times New Roman" w:cs="Times New Roman" w:eastAsia="Times New Roman" w:hAnsi="Times New Roman"/>
          <w:sz w:val="18"/>
          <w:szCs w:val="18"/>
          <w:color w:val="auto"/>
        </w:rPr>
      </w:pPr>
    </w:p>
    <w:p>
      <w:pPr>
        <w:ind w:left="380" w:right="2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shares.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share.</w:t>
      </w:r>
    </w:p>
    <w:p>
      <w:pPr>
        <w:spacing w:after="0" w:line="73"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ADSs.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ADS.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and income tax effects of GAAP to non-GAAP reconciling items, and non-GAAP net income/(loss) attributable to the Company’s ordinary shareholders as net income/(loss) attributable to the Company’s ordinary shareholders excluding recurring item of share-based compensation expenses and income tax effects of GAAP to non-GAAP reconciling items.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RMB6.9116 to US$1.00, the exchange rate on March 27, 2026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Wednesday, April 29, 2026, at 8:00 am Eastern Time (or Wednesday, April 29, 2026,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+1-888-317-6003</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+1-412-317-6061</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0496741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May 6, 2026,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+1-855-669-9658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2640838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2,294,112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4,146,829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599,981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3,328,423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2,323,698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336,203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167,428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653,614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94,568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2,966,506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3,912,670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566,102</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2,520,657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2,590,089</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374,745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14,430,947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15,620,313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2,260,014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6,289,986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6,578,261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951,771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58,088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101,279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968,836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938,792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135,828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240,671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34,821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7,637,320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7,754,261</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1,121,920</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15,870,637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16,270,073</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2,354,023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31,890,386</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4,614,037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1,103,767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198,195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4,148,323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4,664,155</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674,830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172,684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24,985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149,887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147,861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2,948,353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3,001,410</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434,257</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8,506,620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9,355,957</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1,353,660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339,797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390,920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56,560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4,315,808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4,351,165</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629,545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4,655,605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4,742,085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13,162,225</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14,098,042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2,039,765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219,148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17,278,391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17,460,485</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2,526,258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453,625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453,625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65,632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(2,438,985)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(1,932,841)</w:t>
            </w: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331,642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296,389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15,624,699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16,277,684</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2,355,124</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31,890,386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6,784,569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8,980,228</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1,299,298</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2,080,842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3,015,254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436,260</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8,865,411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11,995,482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1,735,558</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(3,574,953)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(4,853,942)</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(702,289)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(2,329,127)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(3,060,887)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(442,862)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(337,754)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(451,613)</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(65,341)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(688,950)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(1,307,895)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(496,436)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(732,385)</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(105,965)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(681,211)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(850,792)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(14,398)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(21,579)</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Losses and expenses related to Fabricated Transactions and Restructuring</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(8,130,200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(11,279,623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(1,631,984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735,211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715,859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103,574</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36,577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48,370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(4,414)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(11,335)</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5,889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773,138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771,797</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111,667</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523,590</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506,144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73,231</w:t>
            </w:r>
          </w:p>
        </w:tc>
        <w:tc>
          <w:tcPr>
            <w:tcW w:w="100" w:type="dxa"/>
            <w:vAlign w:val="bottom"/>
            <w:tcBorders>
              <w:bottom w:val="single" w:sz="8" w:color="CCEEFF"/>
            </w:tcBorders>
          </w:tcPr>
          <w:p>
            <w:pPr>
              <w:spacing w:after="0"/>
              <w:rPr>
                <w:sz w:val="22"/>
                <w:szCs w:val="22"/>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 ordinary shareholders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523,590</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506,144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73,231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 diluted income per</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2,564,658,460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2,589,698,423</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2,589,698,423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2,566,169,868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2,591,481,125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2,591,481,125</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523,590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506,144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73,231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 of nil: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 net of tax of nil</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(12,657)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(35,253)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510,933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470,891</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68,130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ordinary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896,586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790,722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114,405</w:t>
            </w:r>
          </w:p>
        </w:tc>
        <w:tc>
          <w:tcPr>
            <w:tcW w:w="0" w:type="dxa"/>
            <w:vAlign w:val="bottom"/>
          </w:tcPr>
          <w:p>
            <w:pPr>
              <w:spacing w:after="0"/>
              <w:rPr>
                <w:sz w:val="1"/>
                <w:szCs w:val="1"/>
                <w:color w:val="auto"/>
              </w:rPr>
            </w:pPr>
          </w:p>
        </w:tc>
      </w:tr>
      <w:tr>
        <w:trPr>
          <w:trHeight w:val="216"/>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1,074,977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155,532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and restricted cash</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(11,730)</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1,853,969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period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2,356,933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341,011</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4,582,806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4,210,902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735,211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715,859</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103,574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182,094</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26,346</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862,391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897,953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506,144</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73,231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182,094</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26,346</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GAAP to non-GAAP reconciling items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647,869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686,464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99,320</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the Company’s ordinary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647,869</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686,464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99,320</w:t>
            </w:r>
          </w:p>
        </w:tc>
        <w:tc>
          <w:tcPr>
            <w:tcW w:w="100" w:type="dxa"/>
            <w:vAlign w:val="bottom"/>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   Non-GAAP net income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 diluted income per</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2,564,658,460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2,589,698,423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2,589,698,423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2,566,169,868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2,591,481,125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2,591,481,125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bl>
    <w:p>
      <w:pPr>
        <w:spacing w:after="0" w:line="179" w:lineRule="exact"/>
        <w:rPr>
          <w:sz w:val="20"/>
          <w:szCs w:val="20"/>
          <w:color w:val="auto"/>
        </w:rPr>
      </w:pPr>
    </w:p>
    <w:p>
      <w:pPr>
        <w:ind w:right="20" w:firstLine="8"/>
        <w:spacing w:after="0" w:line="282"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2026-04-29T06:05:41Z</dcterms:created>
  <dcterms:modified xsi:type="dcterms:W3CDTF">2026-04-29T06:05:41Z</dcterms:modified>
</cp:coreProperties>
</file>