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0001988804</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An Jing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151 Queen Street</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335000.00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Auckland CBD  Q2</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269267174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20" w:space="58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American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Depositary</w:t>
      </w:r>
    </w:p>
    <w:p>
      <w:pPr>
        <w:sectPr>
          <w:pgSz w:w="11900" w:h="16838" w:orient="portrait"/>
          <w:cols w:equalWidth="0" w:num="1">
            <w:col w:w="11240"/>
          </w:cols>
          <w:pgMar w:left="320" w:top="108" w:right="339" w:bottom="1440" w:gutter="0" w:footer="0" w:header="0"/>
          <w:type w:val="continuous"/>
        </w:sectPr>
      </w:pPr>
    </w:p>
    <w:p>
      <w:pPr>
        <w:spacing w:after="0" w:line="5"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1"/>
          <w:szCs w:val="21"/>
          <w:color w:val="auto"/>
        </w:rPr>
        <w:t>Shares, each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06/30/2023 share incentiveplans</w:t>
      </w:r>
    </w:p>
    <w:p>
      <w:pPr>
        <w:spacing w:after="0" w:line="20" w:lineRule="exact"/>
        <w:rPr>
          <w:sz w:val="20"/>
          <w:szCs w:val="20"/>
          <w:color w:val="auto"/>
        </w:rPr>
      </w:pPr>
      <w:r>
        <w:rPr>
          <w:sz w:val="20"/>
          <w:szCs w:val="20"/>
          <w:color w:val="auto"/>
        </w:rPr>
        <w:br w:type="column"/>
      </w:r>
    </w:p>
    <w:p>
      <w:pPr>
        <w:ind w:right="980"/>
        <w:spacing w:after="0" w:line="230" w:lineRule="auto"/>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-229235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06/30/2023 Cashless</w:t>
      </w:r>
    </w:p>
    <w:p>
      <w:pPr>
        <w:spacing w:after="0" w:line="162" w:lineRule="exact"/>
        <w:rPr>
          <w:sz w:val="20"/>
          <w:szCs w:val="20"/>
          <w:color w:val="auto"/>
        </w:rPr>
      </w:pPr>
    </w:p>
    <w:p>
      <w:pPr>
        <w:sectPr>
          <w:pgSz w:w="11900" w:h="16838" w:orient="portrait"/>
          <w:cols w:equalWidth="0" w:num="5">
            <w:col w:w="1120" w:space="420"/>
            <w:col w:w="2340" w:space="400"/>
            <w:col w:w="2240" w:space="720"/>
            <w:col w:w="560" w:space="720"/>
            <w:col w:w="2720"/>
          </w:cols>
          <w:pgMar w:left="320" w:top="108" w:right="339" w:bottom="1440" w:gutter="0" w:footer="0" w:header="0"/>
          <w:type w:val="continuous"/>
        </w:sectPr>
      </w:pPr>
    </w:p>
    <w:p>
      <w:pPr>
        <w:ind w:left="40"/>
        <w:spacing w:after="0" w:line="216"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Jiawei Wang as duly authorized representative of Beijing Yixinxiangshang Technology Co Ltd as attorney-in-fact</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for Jing 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2026-05-13T10:20:39Z</dcterms:created>
  <dcterms:modified xsi:type="dcterms:W3CDTF">2026-05-13T10:20:39Z</dcterms:modified>
</cp:coreProperties>
</file>